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1DA6" w14:textId="7ED6CE5E" w:rsidR="00183226" w:rsidRDefault="00183226">
      <w:pPr>
        <w:rPr>
          <w:sz w:val="16"/>
        </w:rPr>
      </w:pPr>
    </w:p>
    <w:p w14:paraId="558D7279" w14:textId="77777777" w:rsidR="00952ECE" w:rsidRPr="00952ECE" w:rsidRDefault="00952ECE" w:rsidP="00952ECE"/>
    <w:p w14:paraId="3D2DE140" w14:textId="77777777" w:rsidR="00CE1740" w:rsidRPr="00CE1740" w:rsidRDefault="00CE1740" w:rsidP="003F6612">
      <w:pPr>
        <w:pStyle w:val="Heading1"/>
      </w:pPr>
    </w:p>
    <w:p w14:paraId="46216FE9" w14:textId="77777777" w:rsidR="008D1BCA" w:rsidRDefault="008D1BCA" w:rsidP="00A26E08">
      <w:pPr>
        <w:rPr>
          <w:b/>
          <w:bCs/>
        </w:rPr>
      </w:pPr>
    </w:p>
    <w:p w14:paraId="2584A948" w14:textId="7C6EEA5A" w:rsidR="00A26E08" w:rsidRPr="00CE33CC" w:rsidRDefault="00A26E08" w:rsidP="00A26E08">
      <w:pPr>
        <w:rPr>
          <w:b/>
          <w:bCs/>
          <w:sz w:val="24"/>
        </w:rPr>
      </w:pPr>
      <w:r w:rsidRPr="00CE33CC">
        <w:rPr>
          <w:b/>
          <w:bCs/>
          <w:sz w:val="24"/>
        </w:rPr>
        <w:t>Justiitsministeerium</w:t>
      </w:r>
    </w:p>
    <w:p w14:paraId="649D5724" w14:textId="2F291D38" w:rsidR="00A26E08" w:rsidRPr="00CE33CC" w:rsidRDefault="00A26E08" w:rsidP="00A26E08">
      <w:pPr>
        <w:rPr>
          <w:i/>
          <w:iCs/>
        </w:rPr>
      </w:pPr>
      <w:r w:rsidRPr="00A26E08">
        <w:rPr>
          <w:i/>
          <w:iCs/>
        </w:rPr>
        <w:t>saadetud e-posti aadressile:</w:t>
      </w:r>
      <w:r>
        <w:rPr>
          <w:i/>
          <w:iCs/>
        </w:rPr>
        <w:t xml:space="preserve"> </w:t>
      </w:r>
      <w:hyperlink r:id="rId7" w:history="1">
        <w:r w:rsidRPr="006153BB">
          <w:rPr>
            <w:rStyle w:val="Hyperlink"/>
            <w:i/>
            <w:iCs/>
          </w:rPr>
          <w:t>info@just.ee</w:t>
        </w:r>
      </w:hyperlink>
      <w:r>
        <w:rPr>
          <w:i/>
          <w:iCs/>
        </w:rPr>
        <w:t xml:space="preserve">; </w:t>
      </w:r>
      <w:hyperlink r:id="rId8" w:history="1">
        <w:r w:rsidR="00CE33CC" w:rsidRPr="00CE33CC">
          <w:rPr>
            <w:rStyle w:val="Hyperlink"/>
            <w:i/>
            <w:iCs/>
          </w:rPr>
          <w:t>brigita.rastas@just.ee</w:t>
        </w:r>
      </w:hyperlink>
    </w:p>
    <w:p w14:paraId="1F5753E5" w14:textId="77777777" w:rsidR="00A26E08" w:rsidRDefault="00A26E08" w:rsidP="00A26E08"/>
    <w:p w14:paraId="67AC7C1B" w14:textId="44478AFD" w:rsidR="00A26E08" w:rsidRPr="00A26E08" w:rsidRDefault="00A26E08" w:rsidP="00A26E08">
      <w:pPr>
        <w:rPr>
          <w:i/>
          <w:iCs/>
        </w:rPr>
      </w:pPr>
      <w:r w:rsidRPr="00A26E08">
        <w:rPr>
          <w:i/>
          <w:iCs/>
        </w:rPr>
        <w:t>/vastavalt digiallkirjastamise kuupäevale/</w:t>
      </w:r>
    </w:p>
    <w:p w14:paraId="5F21F671" w14:textId="77777777" w:rsidR="00A26E08" w:rsidRPr="00A26E08" w:rsidRDefault="00A26E08" w:rsidP="00A26E08"/>
    <w:p w14:paraId="2AFDB833" w14:textId="77777777" w:rsidR="00CE33CC" w:rsidRPr="00DD26F4" w:rsidRDefault="00CE33CC" w:rsidP="006E6361">
      <w:pPr>
        <w:spacing w:after="120" w:line="240" w:lineRule="auto"/>
        <w:rPr>
          <w:b/>
          <w:bCs/>
          <w:sz w:val="22"/>
          <w:szCs w:val="22"/>
        </w:rPr>
      </w:pPr>
      <w:r w:rsidRPr="00DD26F4">
        <w:rPr>
          <w:b/>
          <w:bCs/>
          <w:sz w:val="22"/>
          <w:szCs w:val="22"/>
        </w:rPr>
        <w:t>Autoriõiguse seaduse seaduseelnõu väljatöötamiskavatsuse kohta</w:t>
      </w:r>
    </w:p>
    <w:p w14:paraId="34F836B3" w14:textId="2045A5FE" w:rsidR="00A26E08" w:rsidRPr="00DD26F4" w:rsidRDefault="00CE33CC" w:rsidP="006E6361">
      <w:pPr>
        <w:spacing w:after="120" w:line="240" w:lineRule="auto"/>
        <w:rPr>
          <w:szCs w:val="20"/>
          <w:u w:val="single"/>
        </w:rPr>
      </w:pPr>
      <w:r w:rsidRPr="00DD26F4">
        <w:rPr>
          <w:szCs w:val="20"/>
          <w:u w:val="single"/>
        </w:rPr>
        <w:t>Teie kiri 02.01.2024 nr.8-3/11-1</w:t>
      </w:r>
    </w:p>
    <w:p w14:paraId="7D86B0D1" w14:textId="77777777" w:rsidR="00A26E08" w:rsidRPr="00A26E08" w:rsidRDefault="00A26E08" w:rsidP="00A26E08"/>
    <w:p w14:paraId="333A38D7" w14:textId="2D79ACDF" w:rsidR="00A26E08" w:rsidRDefault="00A26E08" w:rsidP="00A26E08">
      <w:r w:rsidRPr="00A26E08">
        <w:t xml:space="preserve">Lp. </w:t>
      </w:r>
      <w:r w:rsidR="00CE33CC">
        <w:t xml:space="preserve">minister Kalle </w:t>
      </w:r>
      <w:proofErr w:type="spellStart"/>
      <w:r w:rsidR="00CE33CC">
        <w:t>Laanet</w:t>
      </w:r>
      <w:proofErr w:type="spellEnd"/>
    </w:p>
    <w:p w14:paraId="502D6E9D" w14:textId="77777777" w:rsidR="00675E96" w:rsidRPr="00A26E08" w:rsidRDefault="00675E96" w:rsidP="00A26E08"/>
    <w:p w14:paraId="6354A7E1" w14:textId="7BC0EFD8" w:rsidR="00CE33CC" w:rsidRPr="00CE33CC" w:rsidRDefault="006E6361" w:rsidP="00CE33CC">
      <w:r>
        <w:t xml:space="preserve">Justiitsministeerium </w:t>
      </w:r>
      <w:r w:rsidRPr="006E6361">
        <w:t xml:space="preserve">saatis </w:t>
      </w:r>
      <w:r w:rsidR="00CE33CC">
        <w:t>2.</w:t>
      </w:r>
      <w:r>
        <w:t xml:space="preserve"> jaanuaril</w:t>
      </w:r>
      <w:r w:rsidRPr="006E6361">
        <w:t xml:space="preserve"> erinevatele </w:t>
      </w:r>
      <w:r w:rsidR="009828AF">
        <w:t>organisatsioonidele</w:t>
      </w:r>
      <w:r w:rsidR="00CE33CC">
        <w:t xml:space="preserve">, </w:t>
      </w:r>
      <w:r w:rsidR="009828AF">
        <w:t xml:space="preserve">sh Eesti Autorite Ühingule (EAÜ), </w:t>
      </w:r>
      <w:r w:rsidR="00CE33CC" w:rsidRPr="00CE33CC">
        <w:t>väljatöötamiskavatsuse (VTK) autoriõiguse seaduse (</w:t>
      </w:r>
      <w:proofErr w:type="spellStart"/>
      <w:r w:rsidR="00CE33CC" w:rsidRPr="00CE33CC">
        <w:t>AutÕS</w:t>
      </w:r>
      <w:proofErr w:type="spellEnd"/>
      <w:r w:rsidR="00CE33CC" w:rsidRPr="00CE33CC">
        <w:t xml:space="preserve">) muutmiseks. VTK-s on </w:t>
      </w:r>
      <w:r w:rsidR="00CE33CC">
        <w:t>kaardistatud</w:t>
      </w:r>
      <w:r w:rsidR="00CE33CC" w:rsidRPr="00CE33CC">
        <w:t xml:space="preserve"> </w:t>
      </w:r>
      <w:proofErr w:type="spellStart"/>
      <w:r w:rsidR="00CE33CC" w:rsidRPr="00CE33CC">
        <w:t>AutÕS</w:t>
      </w:r>
      <w:proofErr w:type="spellEnd"/>
      <w:r w:rsidR="00CE33CC" w:rsidRPr="00CE33CC">
        <w:t xml:space="preserve"> rakendamisel esile kerkinud järgmised probleemid ja teemad:</w:t>
      </w:r>
    </w:p>
    <w:p w14:paraId="41B94BF0" w14:textId="77777777" w:rsidR="00CE33CC" w:rsidRPr="00CE33CC" w:rsidRDefault="00CE33CC" w:rsidP="00CE33CC">
      <w:r w:rsidRPr="00CE33CC">
        <w:t>- erakopeerimise tasu süsteemi kitsaskohad;</w:t>
      </w:r>
    </w:p>
    <w:p w14:paraId="7CA310EC" w14:textId="77777777" w:rsidR="00CE33CC" w:rsidRPr="00CE33CC" w:rsidRDefault="00CE33CC" w:rsidP="00CE33CC">
      <w:r w:rsidRPr="00CE33CC">
        <w:t>- blokeerimismeetme kasutamine piiramaks juurdepääsu autoriõigusi rikkuvatele veebilehtedele;</w:t>
      </w:r>
    </w:p>
    <w:p w14:paraId="16CD2CAA" w14:textId="77777777" w:rsidR="00CE33CC" w:rsidRPr="00CE33CC" w:rsidRDefault="00CE33CC" w:rsidP="00CE33CC">
      <w:r w:rsidRPr="00CE33CC">
        <w:t>- autoriõiguse komisjoni ümberkorraldamine;</w:t>
      </w:r>
    </w:p>
    <w:p w14:paraId="58374435" w14:textId="77777777" w:rsidR="00CE33CC" w:rsidRPr="00CE33CC" w:rsidRDefault="00CE33CC" w:rsidP="00CE33CC">
      <w:r w:rsidRPr="00CE33CC">
        <w:t>- muud kitsaskohad.</w:t>
      </w:r>
    </w:p>
    <w:p w14:paraId="632F1D06" w14:textId="18840858" w:rsidR="00CE33CC" w:rsidRPr="00CE33CC" w:rsidRDefault="00CE33CC" w:rsidP="00CE33CC">
      <w:r w:rsidRPr="00CE33CC">
        <w:t xml:space="preserve">Käesolevaga esitab </w:t>
      </w:r>
      <w:r w:rsidR="00B55DDB">
        <w:t>EAÜ</w:t>
      </w:r>
      <w:r w:rsidRPr="00CE33CC">
        <w:t xml:space="preserve"> omapoolse arvamuse </w:t>
      </w:r>
      <w:r w:rsidR="00B55DDB">
        <w:t>VTK-s väljapakutud lahenduste kohta.</w:t>
      </w:r>
    </w:p>
    <w:p w14:paraId="0C95ED9B" w14:textId="77777777" w:rsidR="00B55DDB" w:rsidRPr="00B55DDB" w:rsidRDefault="00B55DDB" w:rsidP="00B55DDB">
      <w:pPr>
        <w:rPr>
          <w:b/>
          <w:bCs/>
          <w:sz w:val="22"/>
          <w:szCs w:val="22"/>
        </w:rPr>
      </w:pPr>
      <w:r w:rsidRPr="00B55DDB">
        <w:rPr>
          <w:b/>
          <w:bCs/>
          <w:sz w:val="22"/>
          <w:szCs w:val="22"/>
        </w:rPr>
        <w:t>1. Erakopeerimise tasu süsteem</w:t>
      </w:r>
    </w:p>
    <w:p w14:paraId="6EC9031C" w14:textId="734CBA0C" w:rsidR="00B55DDB" w:rsidRPr="00B55DDB" w:rsidRDefault="00B55DDB" w:rsidP="00B55DDB">
      <w:r>
        <w:t>S</w:t>
      </w:r>
      <w:r w:rsidRPr="00B55DDB">
        <w:t xml:space="preserve">eoses erakopeerimise tasuga </w:t>
      </w:r>
      <w:r>
        <w:t xml:space="preserve">on VTK-s </w:t>
      </w:r>
      <w:r w:rsidRPr="00B55DDB">
        <w:t>käsitle</w:t>
      </w:r>
      <w:r>
        <w:t>tud</w:t>
      </w:r>
      <w:r w:rsidRPr="00B55DDB">
        <w:t xml:space="preserve"> kolme probleemi. Neist esimene on seotud </w:t>
      </w:r>
      <w:bookmarkStart w:id="0" w:name="_Hlk156911400"/>
      <w:r w:rsidRPr="00B55DDB">
        <w:t>komisjoni koos</w:t>
      </w:r>
      <w:bookmarkEnd w:id="0"/>
      <w:r w:rsidRPr="00B55DDB">
        <w:t xml:space="preserve">seisuga (a), teine </w:t>
      </w:r>
      <w:bookmarkStart w:id="1" w:name="_Hlk156911438"/>
      <w:r w:rsidRPr="00B55DDB">
        <w:t>J</w:t>
      </w:r>
      <w:r>
        <w:t>ustiitsministeeriumi</w:t>
      </w:r>
      <w:r w:rsidRPr="00B55DDB">
        <w:t xml:space="preserve"> rolliga erakopeerimise tasu jaotamisel </w:t>
      </w:r>
      <w:bookmarkEnd w:id="1"/>
      <w:r w:rsidRPr="00B55DDB">
        <w:t xml:space="preserve">(b) ja kolmas probleem puudutab erakopeerimise tasust 10% ulatuses jaotatavate toetuste taotlemist ja aruannete esitamist (c). </w:t>
      </w:r>
    </w:p>
    <w:p w14:paraId="5F17C009" w14:textId="77777777" w:rsidR="00B55DDB" w:rsidRPr="00B55DDB" w:rsidRDefault="00B55DDB" w:rsidP="00B55DDB">
      <w:pPr>
        <w:rPr>
          <w:b/>
          <w:bCs/>
          <w:sz w:val="22"/>
          <w:szCs w:val="22"/>
        </w:rPr>
      </w:pPr>
      <w:r w:rsidRPr="00B55DDB">
        <w:rPr>
          <w:b/>
          <w:bCs/>
          <w:sz w:val="22"/>
          <w:szCs w:val="22"/>
        </w:rPr>
        <w:t>a. komisjoni koosseis</w:t>
      </w:r>
    </w:p>
    <w:p w14:paraId="2D2F0458" w14:textId="1F8990E4" w:rsidR="00B55DDB" w:rsidRPr="00B55DDB" w:rsidRDefault="00B55DDB" w:rsidP="00B55DDB">
      <w:r>
        <w:t xml:space="preserve">EAÜ on seisukohal, et </w:t>
      </w:r>
      <w:r w:rsidRPr="00B55DDB">
        <w:t>ükski J</w:t>
      </w:r>
      <w:r>
        <w:t>ustiitsministeeriumi</w:t>
      </w:r>
      <w:r w:rsidRPr="00B55DDB">
        <w:t xml:space="preserve"> poolt VTK-s välja pakutud </w:t>
      </w:r>
      <w:r w:rsidR="00C70C1E">
        <w:t>variantidest</w:t>
      </w:r>
      <w:r w:rsidRPr="00B55DDB">
        <w:t xml:space="preserve"> komisjoni koosseisu muutmise osas ei </w:t>
      </w:r>
      <w:r w:rsidR="00C70C1E">
        <w:t xml:space="preserve">lahenda tasude jaotamisega seotud probleeme ja vaidlusi. EAÜ leiab, et </w:t>
      </w:r>
      <w:r w:rsidR="00C70C1E">
        <w:lastRenderedPageBreak/>
        <w:t>kui turu-uuring paneb paika seadmete põhiselt jaotusesse minevad summad, siis seaduse või määruse tasandil peaks sätestama</w:t>
      </w:r>
      <w:r w:rsidR="00EB6138">
        <w:t xml:space="preserve"> </w:t>
      </w:r>
      <w:r w:rsidR="000A40E3">
        <w:t xml:space="preserve">suunised või üldised </w:t>
      </w:r>
      <w:r w:rsidR="00EB6138">
        <w:t xml:space="preserve">kriteeriumid, kuidas tasud kollektiivse esindamise organisatsioonide </w:t>
      </w:r>
      <w:r w:rsidR="00F3688C">
        <w:t xml:space="preserve">(KEO) </w:t>
      </w:r>
      <w:r w:rsidR="00EB6138">
        <w:t>vahel jaotu</w:t>
      </w:r>
      <w:r w:rsidR="000A40E3">
        <w:t>vad</w:t>
      </w:r>
      <w:r w:rsidR="00EB6138">
        <w:t xml:space="preserve">. </w:t>
      </w:r>
      <w:r w:rsidR="000A40E3">
        <w:t xml:space="preserve">Samas ei taga selliste üldiste </w:t>
      </w:r>
      <w:r w:rsidRPr="00B55DDB">
        <w:t>jaotuskriteeriumi</w:t>
      </w:r>
      <w:r w:rsidR="000A40E3">
        <w:t xml:space="preserve">te </w:t>
      </w:r>
      <w:r w:rsidRPr="00B55DDB">
        <w:t>sätesta</w:t>
      </w:r>
      <w:r w:rsidR="000A40E3">
        <w:t>mine seaduse või määruse tasandil</w:t>
      </w:r>
      <w:r w:rsidRPr="00B55DDB">
        <w:t xml:space="preserve">, et nende kriteeriumite paika panemisel ei teki vaidlusi või ei teki vaidlusi kriteeriumite </w:t>
      </w:r>
      <w:r w:rsidR="000A40E3">
        <w:t>tõlgendamisel/rakendamisel</w:t>
      </w:r>
      <w:r w:rsidRPr="00B55DDB">
        <w:t xml:space="preserve">. </w:t>
      </w:r>
    </w:p>
    <w:p w14:paraId="7FC66D18" w14:textId="464C520F" w:rsidR="00B55DDB" w:rsidRDefault="003158B7" w:rsidP="00B55DDB">
      <w:r>
        <w:rPr>
          <w:b/>
          <w:bCs/>
        </w:rPr>
        <w:t>L</w:t>
      </w:r>
      <w:r w:rsidR="00B55DDB" w:rsidRPr="00B55DDB">
        <w:rPr>
          <w:b/>
          <w:bCs/>
        </w:rPr>
        <w:t>ahendusvariandi a.1</w:t>
      </w:r>
      <w:r w:rsidR="00B55DDB" w:rsidRPr="00B55DDB">
        <w:t xml:space="preserve"> puhul jääb selgusetuks, kas soovitakse kehtiva </w:t>
      </w:r>
      <w:proofErr w:type="spellStart"/>
      <w:r w:rsidR="00B55DDB" w:rsidRPr="00B55DDB">
        <w:t>AutÕS</w:t>
      </w:r>
      <w:proofErr w:type="spellEnd"/>
      <w:r w:rsidR="00B55DDB" w:rsidRPr="00B55DDB">
        <w:t xml:space="preserve"> § 27 lõike 9 regulatsiooni muuta nii, et sõna „proportsionaalselt“ asendatakse sõnaga „võrdselt“</w:t>
      </w:r>
      <w:r w:rsidR="00B55DDB" w:rsidRPr="00B55DDB">
        <w:rPr>
          <w:vertAlign w:val="superscript"/>
        </w:rPr>
        <w:footnoteReference w:id="1"/>
      </w:r>
      <w:r w:rsidR="00B55DDB" w:rsidRPr="00B55DDB">
        <w:t>. J</w:t>
      </w:r>
      <w:r>
        <w:t>ustiitsministeerium</w:t>
      </w:r>
      <w:r w:rsidR="00B55DDB" w:rsidRPr="00B55DDB">
        <w:t xml:space="preserve"> toob põhjenduseks, et „</w:t>
      </w:r>
      <w:r w:rsidR="00B55DDB" w:rsidRPr="00B55DDB">
        <w:rPr>
          <w:i/>
          <w:iCs/>
        </w:rPr>
        <w:t>Seadus ei täpsusta, millega võrreldes komisjoni kuuluvate õiguste omajate esindajate hulk proportsionaalne peab olema. See annab ruumi erinevateks tõlgendusteks, mis tekitab süsteemi alusel kogutud tasu jaotamise protsessis vaidluskohti juba komisjoni moodustamise faasis</w:t>
      </w:r>
      <w:r w:rsidR="00B55DDB" w:rsidRPr="00B55DDB">
        <w:t>.“</w:t>
      </w:r>
      <w:r w:rsidR="00B55DDB" w:rsidRPr="00B55DDB">
        <w:rPr>
          <w:vertAlign w:val="superscript"/>
        </w:rPr>
        <w:footnoteReference w:id="2"/>
      </w:r>
      <w:r w:rsidR="00B55DDB" w:rsidRPr="00B55DDB">
        <w:t xml:space="preserve"> J</w:t>
      </w:r>
      <w:r>
        <w:t>ustiitsministeerium</w:t>
      </w:r>
      <w:r w:rsidR="00B55DDB" w:rsidRPr="00B55DDB">
        <w:t xml:space="preserve"> on selle lahendusvariandi puhul lihtsalt välja pakkunud, et komisjonis </w:t>
      </w:r>
      <w:r>
        <w:t xml:space="preserve">peab </w:t>
      </w:r>
      <w:r w:rsidR="00B55DDB" w:rsidRPr="00B55DDB">
        <w:t>olema võrdselt autorite, esitajate, fonogrammitootjate ja filmitootjate esindajaid. Samas ei ole J</w:t>
      </w:r>
      <w:r>
        <w:t>ustiitsministeerium</w:t>
      </w:r>
      <w:r w:rsidR="00B55DDB" w:rsidRPr="00B55DDB">
        <w:t xml:space="preserve"> maininud, kas nimetatud õiguste omajad peavad komisjonis olema esindatud läbi </w:t>
      </w:r>
      <w:r>
        <w:t>KEO</w:t>
      </w:r>
      <w:r w:rsidR="00B55DDB" w:rsidRPr="00B55DDB">
        <w:t xml:space="preserve">. </w:t>
      </w:r>
    </w:p>
    <w:p w14:paraId="2A8998F3" w14:textId="2F217556" w:rsidR="00E32760" w:rsidRPr="00DD199D" w:rsidRDefault="00471546" w:rsidP="00360BA8">
      <w:pPr>
        <w:rPr>
          <w:szCs w:val="20"/>
        </w:rPr>
      </w:pPr>
      <w:proofErr w:type="spellStart"/>
      <w:r>
        <w:rPr>
          <w:szCs w:val="20"/>
        </w:rPr>
        <w:t>AutÕS</w:t>
      </w:r>
      <w:proofErr w:type="spellEnd"/>
      <w:r>
        <w:rPr>
          <w:szCs w:val="20"/>
        </w:rPr>
        <w:t xml:space="preserve"> § 27 lg 9 kohaselt eristatakse komisjoni koosseisus nelja erinevat õiguste omajate gruppi – autorid, esitajad, fonogrammitootjad ja filmi esmasalvestuse tootjad. Kõigile neljale grupile võrdse hulga esindajate kinnitamine komisjoni koosseisus ei taga, et õiguste omajad oleksid komisjonis esindatud õiglaselt, sest nende poolt esindatavate õiguste maht on äärmiselt erinev. </w:t>
      </w:r>
      <w:r w:rsidR="00992758">
        <w:rPr>
          <w:szCs w:val="20"/>
        </w:rPr>
        <w:t xml:space="preserve">Nimelt esindavad mõned Patendiameti poolt tunnustatud </w:t>
      </w:r>
      <w:r w:rsidR="0034348D">
        <w:rPr>
          <w:szCs w:val="20"/>
        </w:rPr>
        <w:t xml:space="preserve">kuuest </w:t>
      </w:r>
      <w:proofErr w:type="spellStart"/>
      <w:r w:rsidR="00992758">
        <w:rPr>
          <w:szCs w:val="20"/>
        </w:rPr>
        <w:t>KEO-</w:t>
      </w:r>
      <w:r w:rsidR="0034348D">
        <w:rPr>
          <w:szCs w:val="20"/>
        </w:rPr>
        <w:t>st</w:t>
      </w:r>
      <w:proofErr w:type="spellEnd"/>
      <w:r w:rsidR="00992758">
        <w:rPr>
          <w:szCs w:val="20"/>
        </w:rPr>
        <w:t xml:space="preserve"> </w:t>
      </w:r>
      <w:r w:rsidR="00360BA8">
        <w:rPr>
          <w:szCs w:val="20"/>
        </w:rPr>
        <w:t xml:space="preserve">õiguste omajaid üle maailma, samas kui teised esindavad vaid Eesti õiguste omajaid, mistõttu esindatavate kahju saanud isikute hulk on suurusjärkude võrra erinev. </w:t>
      </w:r>
      <w:r w:rsidR="00992758">
        <w:rPr>
          <w:szCs w:val="20"/>
        </w:rPr>
        <w:t>Samuti rikuks k</w:t>
      </w:r>
      <w:r w:rsidR="00992758" w:rsidRPr="00992758">
        <w:rPr>
          <w:szCs w:val="20"/>
        </w:rPr>
        <w:t>õigile neljale grupile võrdse hulga esindajate kinnitamine komisjoni koosseisus</w:t>
      </w:r>
      <w:r w:rsidR="00992758">
        <w:rPr>
          <w:szCs w:val="20"/>
        </w:rPr>
        <w:t xml:space="preserve"> tasakaalu autorite ja kaasnevate õiguste omajate vahel. A</w:t>
      </w:r>
      <w:r w:rsidR="00992758" w:rsidRPr="00992758">
        <w:rPr>
          <w:szCs w:val="20"/>
        </w:rPr>
        <w:t>utoreid, kellele erakopeerimise vabakasutusega on tekitatud kahju, on erinevat liiki – antud juhul on nendeks muusikateoste autorid, keda esindab EAÜ ja audiovisuaalsete teoste autorid, keda esindab E</w:t>
      </w:r>
      <w:r w:rsidR="0034348D">
        <w:rPr>
          <w:szCs w:val="20"/>
        </w:rPr>
        <w:t>esti Audiovisuaalautorite Liit (EAAL)</w:t>
      </w:r>
      <w:r w:rsidR="00992758" w:rsidRPr="00992758">
        <w:rPr>
          <w:szCs w:val="20"/>
        </w:rPr>
        <w:t xml:space="preserve">. </w:t>
      </w:r>
      <w:r w:rsidR="0034348D">
        <w:rPr>
          <w:szCs w:val="20"/>
        </w:rPr>
        <w:t xml:space="preserve">Ülejäänud kolm gruppi moodustavad kaasnevate õiguste omajad, kelledest </w:t>
      </w:r>
      <w:r w:rsidR="00992758" w:rsidRPr="00992758">
        <w:rPr>
          <w:szCs w:val="20"/>
        </w:rPr>
        <w:t xml:space="preserve">esitajaid </w:t>
      </w:r>
      <w:r w:rsidR="0034348D">
        <w:rPr>
          <w:szCs w:val="20"/>
        </w:rPr>
        <w:t xml:space="preserve">esindavad </w:t>
      </w:r>
      <w:r w:rsidR="00992758" w:rsidRPr="00992758">
        <w:rPr>
          <w:szCs w:val="20"/>
        </w:rPr>
        <w:t>E</w:t>
      </w:r>
      <w:r w:rsidR="0034348D">
        <w:rPr>
          <w:szCs w:val="20"/>
        </w:rPr>
        <w:t>esti Näitlejate Liit</w:t>
      </w:r>
      <w:r w:rsidR="00992758" w:rsidRPr="00992758">
        <w:rPr>
          <w:szCs w:val="20"/>
        </w:rPr>
        <w:t xml:space="preserve"> </w:t>
      </w:r>
      <w:r w:rsidR="0034348D">
        <w:rPr>
          <w:szCs w:val="20"/>
        </w:rPr>
        <w:t xml:space="preserve">(ENL) </w:t>
      </w:r>
      <w:r w:rsidR="00992758" w:rsidRPr="00992758">
        <w:rPr>
          <w:szCs w:val="20"/>
        </w:rPr>
        <w:t>ja E</w:t>
      </w:r>
      <w:r w:rsidR="0034348D">
        <w:rPr>
          <w:szCs w:val="20"/>
        </w:rPr>
        <w:t>esti Esitajate Liit (EEL)</w:t>
      </w:r>
      <w:r w:rsidR="00992758" w:rsidRPr="00992758">
        <w:rPr>
          <w:szCs w:val="20"/>
        </w:rPr>
        <w:t xml:space="preserve">, </w:t>
      </w:r>
      <w:r w:rsidR="00F538FF">
        <w:rPr>
          <w:szCs w:val="20"/>
        </w:rPr>
        <w:t>f</w:t>
      </w:r>
      <w:r w:rsidR="00992758">
        <w:rPr>
          <w:szCs w:val="20"/>
        </w:rPr>
        <w:t xml:space="preserve">onogrammitootjaid </w:t>
      </w:r>
      <w:r w:rsidR="0034348D">
        <w:rPr>
          <w:szCs w:val="20"/>
        </w:rPr>
        <w:t>esindab Eesti Fonogrammitootjate Ühing (EFÜ) j</w:t>
      </w:r>
      <w:r w:rsidR="00992758">
        <w:rPr>
          <w:szCs w:val="20"/>
        </w:rPr>
        <w:t xml:space="preserve">a filmi esmasalvestuse tootjaid </w:t>
      </w:r>
      <w:r w:rsidR="0034348D">
        <w:rPr>
          <w:szCs w:val="20"/>
        </w:rPr>
        <w:t>Filmi Esmasalvestuse Tootjate Ühing (FETÜ).</w:t>
      </w:r>
    </w:p>
    <w:p w14:paraId="7A543CB5" w14:textId="1287CAA5" w:rsidR="00B55DDB" w:rsidRPr="00B55DDB" w:rsidRDefault="003158B7" w:rsidP="00B55DDB">
      <w:r>
        <w:rPr>
          <w:b/>
          <w:bCs/>
        </w:rPr>
        <w:t>L</w:t>
      </w:r>
      <w:r w:rsidR="00B55DDB" w:rsidRPr="00B55DDB">
        <w:rPr>
          <w:b/>
          <w:bCs/>
        </w:rPr>
        <w:t>ahendusvariandi a.2</w:t>
      </w:r>
      <w:r w:rsidR="00B55DDB" w:rsidRPr="00B55DDB">
        <w:t xml:space="preserve"> </w:t>
      </w:r>
      <w:r>
        <w:t xml:space="preserve">puhul </w:t>
      </w:r>
      <w:r w:rsidR="00B55DDB" w:rsidRPr="00B55DDB">
        <w:t xml:space="preserve">on välja pakutud, et komisjon koosneks võrdselt ainult </w:t>
      </w:r>
      <w:proofErr w:type="spellStart"/>
      <w:r>
        <w:t>KEO-de</w:t>
      </w:r>
      <w:proofErr w:type="spellEnd"/>
      <w:r>
        <w:t xml:space="preserve"> </w:t>
      </w:r>
      <w:r w:rsidR="00B55DDB" w:rsidRPr="00B55DDB">
        <w:t xml:space="preserve">esindajatest. St et komisjoni ei kuuluks enam ka ühtegi riigiametnikku. Põhimõtteliselt tähendaks selline muudatus, et iga Patendiameti poolt tunnustatud KEO esindaja saaks kuuluda vastava komisjoni koosseisu ning ei oleks enam oluline, et kui suur on mingi KEO esindatus ja kas konkreetne KEO esindab ainult ühte liiki õiguste omajaid või mitut liiku õiguste omajaid. </w:t>
      </w:r>
    </w:p>
    <w:p w14:paraId="347DFF78" w14:textId="074B35A6" w:rsidR="00926539" w:rsidRDefault="00926539" w:rsidP="00B55DDB">
      <w:r>
        <w:lastRenderedPageBreak/>
        <w:t>EAÜ arvates on s</w:t>
      </w:r>
      <w:r w:rsidR="00B55DDB" w:rsidRPr="00B55DDB">
        <w:t>elle lahendusvariandi puhul komisjoni moodustamise alused kõige selgemad, kuid vaidlusi võib ka siin tekkida</w:t>
      </w:r>
      <w:r w:rsidR="00B55DDB" w:rsidRPr="00B55DDB">
        <w:rPr>
          <w:vertAlign w:val="superscript"/>
        </w:rPr>
        <w:footnoteReference w:id="3"/>
      </w:r>
      <w:r w:rsidR="00B55DDB" w:rsidRPr="00B55DDB">
        <w:t xml:space="preserve">. </w:t>
      </w:r>
      <w:r w:rsidR="00360BA8">
        <w:t>I</w:t>
      </w:r>
      <w:r w:rsidR="00360BA8" w:rsidRPr="00B55DDB">
        <w:t xml:space="preserve">segi </w:t>
      </w:r>
      <w:r w:rsidR="00B55DDB" w:rsidRPr="00B55DDB">
        <w:t xml:space="preserve">siis, kui komisjon saab </w:t>
      </w:r>
      <w:proofErr w:type="spellStart"/>
      <w:r w:rsidR="00B55DDB" w:rsidRPr="00B55DDB">
        <w:t>KEO-de</w:t>
      </w:r>
      <w:proofErr w:type="spellEnd"/>
      <w:r w:rsidR="00B55DDB" w:rsidRPr="00B55DDB">
        <w:t xml:space="preserve"> esindajatest võrdsetel alustel moodustatud, ei välistaks see </w:t>
      </w:r>
      <w:proofErr w:type="spellStart"/>
      <w:r w:rsidR="00B55DDB" w:rsidRPr="00B55DDB">
        <w:t>KEO-de</w:t>
      </w:r>
      <w:proofErr w:type="spellEnd"/>
      <w:r w:rsidR="00B55DDB" w:rsidRPr="00B55DDB">
        <w:t xml:space="preserve"> vahelisi proportsionaalsuse teemalisi vaidlusi tasu jaotamisel. Nimelt on FETÜ lisandumisega erakopeerimise tasu saajate hulka tõusetunud küsimus, et kas KEO, milline esindab üksnes Eesti filmi esmasalvestuse tootjaid, on õigustatud saama 100% audiovisuaalvaldkonna filmi esmasalvestuse tootjate kogusummast. Kohtus olevad vaidlused 2021. ja 2022. aasta eest kogutud tasude jaotamisel keskenduvadki probleemile, et kas tasu jaotamise komisjonil oli õigus </w:t>
      </w:r>
      <w:proofErr w:type="spellStart"/>
      <w:r w:rsidR="00B55DDB" w:rsidRPr="00B55DDB">
        <w:t>FETÜ-le</w:t>
      </w:r>
      <w:proofErr w:type="spellEnd"/>
      <w:r w:rsidR="00B55DDB" w:rsidRPr="00B55DDB">
        <w:t xml:space="preserve"> jaotatavat summat proportsionaalselt vähendada arvestades</w:t>
      </w:r>
      <w:r w:rsidR="001A3B5A">
        <w:t>, et FETÜ ei esinda ühtegi välisriigi filmitootjat.</w:t>
      </w:r>
    </w:p>
    <w:p w14:paraId="0CA9E9DD" w14:textId="6361C21D" w:rsidR="00B55DDB" w:rsidRPr="00B55DDB" w:rsidRDefault="00926539" w:rsidP="00B55DDB">
      <w:r>
        <w:t xml:space="preserve">EAÜ leiab, et </w:t>
      </w:r>
      <w:r w:rsidR="00B55DDB" w:rsidRPr="00B55DDB">
        <w:t xml:space="preserve">KEO </w:t>
      </w:r>
      <w:proofErr w:type="spellStart"/>
      <w:r w:rsidR="00B55DDB" w:rsidRPr="00B55DDB">
        <w:t>esindatavus</w:t>
      </w:r>
      <w:proofErr w:type="spellEnd"/>
      <w:r w:rsidR="00B55DDB" w:rsidRPr="00B55DDB">
        <w:t xml:space="preserve"> (õiguste omajate hulk, keda ta esindab) peab olema proportsioonis ka erakopeerimiseks kasutatud teoste hulga ja seeläbi õiguste omajatele tekitatud kahjuga. </w:t>
      </w:r>
    </w:p>
    <w:p w14:paraId="6D7D6B5F" w14:textId="12BB42A2" w:rsidR="00B55DDB" w:rsidRPr="00B55DDB" w:rsidRDefault="00926539" w:rsidP="00B55DDB">
      <w:r>
        <w:rPr>
          <w:b/>
          <w:bCs/>
        </w:rPr>
        <w:t>L</w:t>
      </w:r>
      <w:r w:rsidR="00B55DDB" w:rsidRPr="00B55DDB">
        <w:rPr>
          <w:b/>
          <w:bCs/>
        </w:rPr>
        <w:t>ahendusvariandis a.3</w:t>
      </w:r>
      <w:r w:rsidR="00B55DDB" w:rsidRPr="00B55DDB">
        <w:t xml:space="preserve"> on </w:t>
      </w:r>
      <w:r>
        <w:t>välja pakutud</w:t>
      </w:r>
      <w:r w:rsidR="00B55DDB" w:rsidRPr="00B55DDB">
        <w:t>, et komisjon võiks koosneda ainult „</w:t>
      </w:r>
      <w:r w:rsidR="00B55DDB" w:rsidRPr="00B55DDB">
        <w:rPr>
          <w:i/>
          <w:iCs/>
        </w:rPr>
        <w:t>ekspertidest, kellel sedalaadi side tasu saajatega puudub ehk kes saavad jaotuskava koostada võimalikult objektiivsetel alustel“.</w:t>
      </w:r>
      <w:r w:rsidR="00B55DDB" w:rsidRPr="00B55DDB">
        <w:t xml:space="preserve"> Nendeks ekspertideks võiksid J</w:t>
      </w:r>
      <w:r>
        <w:t>ustiitsministeeriumi</w:t>
      </w:r>
      <w:r w:rsidR="00B55DDB" w:rsidRPr="00B55DDB">
        <w:t xml:space="preserve"> hinnangul olla vastava valdkonnaga seotud ministeeriumite esindajad (Justiitsministeerium, Kultuuriministeerium), majandusalaste teadmistega isik, andmeanalüütik, Patendiameti esindaja, Tartu Ülikooli esindaja, valdkonnale spetsialiseerunud kohtunik ja/või advokaat jne. </w:t>
      </w:r>
    </w:p>
    <w:p w14:paraId="7F8CFC2A" w14:textId="11BBB8FD" w:rsidR="00B55DDB" w:rsidRPr="00B55DDB" w:rsidRDefault="00926539" w:rsidP="00B55DDB">
      <w:r>
        <w:t xml:space="preserve">EAÜ meelest on põhjendamatu eeldada, et </w:t>
      </w:r>
      <w:r w:rsidR="00B55DDB" w:rsidRPr="00B55DDB">
        <w:t>kui puudub side õiguste omajatega, siis see tagab objektiivsuse. Objektiivsed andmed, millele erakopeerimise jaotuskava koostamisel saab tugineda (kopeerimise maht, koopiate liigid, seadmed millele kopeeritakse, audio- ja audiovisuaalvaldkonna osakaal jms), sisalduvad vastavates turu-uuringutes. Kuid edasi tuleb otsustada, kuidas (millise võtme järgi) kogutud tasu iga õiguste omajate grupi vahel ära jaotada. J</w:t>
      </w:r>
      <w:r>
        <w:t xml:space="preserve">ustiitsministeerium ise on </w:t>
      </w:r>
      <w:r w:rsidR="00B55DDB" w:rsidRPr="00B55DDB">
        <w:t xml:space="preserve">VTK-s </w:t>
      </w:r>
      <w:r>
        <w:t xml:space="preserve">märkinud, et </w:t>
      </w:r>
      <w:r w:rsidR="00B55DDB" w:rsidRPr="00B55DDB">
        <w:t xml:space="preserve">peab </w:t>
      </w:r>
      <w:proofErr w:type="spellStart"/>
      <w:r w:rsidR="00B55DDB" w:rsidRPr="00B55DDB">
        <w:t>KEO-sid</w:t>
      </w:r>
      <w:proofErr w:type="spellEnd"/>
      <w:r w:rsidR="00B55DDB" w:rsidRPr="00B55DDB">
        <w:t xml:space="preserve"> vastava valdkonna ekspertideks, kuna „</w:t>
      </w:r>
      <w:r w:rsidR="00B55DDB" w:rsidRPr="00B55DDB">
        <w:rPr>
          <w:i/>
          <w:iCs/>
        </w:rPr>
        <w:t>ainult neil on võimalik jaotuskava koostamisel tugineda erialastele teadmisele ja allikatele, millele pääsetakse ligi tänu valdkonnas tegutsemisele</w:t>
      </w:r>
      <w:r w:rsidR="00B55DDB" w:rsidRPr="00B55DDB">
        <w:t>“.</w:t>
      </w:r>
      <w:r w:rsidR="00B55DDB" w:rsidRPr="00B55DDB">
        <w:rPr>
          <w:vertAlign w:val="superscript"/>
        </w:rPr>
        <w:footnoteReference w:id="4"/>
      </w:r>
      <w:r w:rsidR="00B55DDB" w:rsidRPr="00B55DDB">
        <w:t xml:space="preserve"> </w:t>
      </w:r>
    </w:p>
    <w:p w14:paraId="5EB2E3BF" w14:textId="17ADBAAC" w:rsidR="00B55DDB" w:rsidRPr="00B55DDB" w:rsidRDefault="00B55DDB" w:rsidP="00B55DDB">
      <w:r w:rsidRPr="00B55DDB">
        <w:t xml:space="preserve">Seega kui komisjon koosneks mingitest teistest ekspertidest, siis ei ole kindel, et neil on vastavaid teadmisi ja soovi asjaga süviti tegeleda. Kui </w:t>
      </w:r>
      <w:proofErr w:type="spellStart"/>
      <w:r w:rsidRPr="00B55DDB">
        <w:t>KEO-de</w:t>
      </w:r>
      <w:proofErr w:type="spellEnd"/>
      <w:r w:rsidRPr="00B55DDB">
        <w:t xml:space="preserve"> esindajate puhul on teada, kelle huve nad esindavad, siis muude seotud organisatsioonide esindajate puhul ei ole see läbinähtav ega üheselt arusaadav, millistest põhimõtetest või ajenditest lähtuvalt nad oma otsuseid teevad. Näiteks </w:t>
      </w:r>
      <w:r w:rsidR="00360BA8">
        <w:t xml:space="preserve">valdkonnas tegutsevate advokaatide puhul ei ole teada, kes on nende kliendid ja kelle huve nad esindaksid, sest ka advokaadi poole pöördumine on </w:t>
      </w:r>
      <w:proofErr w:type="spellStart"/>
      <w:r w:rsidR="00360BA8">
        <w:t>AdvS</w:t>
      </w:r>
      <w:proofErr w:type="spellEnd"/>
      <w:r w:rsidR="00360BA8">
        <w:t xml:space="preserve"> § 45 lg 1 kohaselt kutsesaladus, mida advokaadil on kohustus hoida saladuses. </w:t>
      </w:r>
    </w:p>
    <w:p w14:paraId="0FD80668" w14:textId="4D92D146" w:rsidR="00B55DDB" w:rsidRPr="00B55DDB" w:rsidRDefault="00360BA8" w:rsidP="00B55DDB">
      <w:r>
        <w:t>Seejuures ei saa ka</w:t>
      </w:r>
      <w:r w:rsidRPr="00B55DDB">
        <w:t xml:space="preserve"> </w:t>
      </w:r>
      <w:r w:rsidR="00B55DDB" w:rsidRPr="00B55DDB">
        <w:t xml:space="preserve">selle lahendusvariandi puhul välistada, et eksperdid ei jõua üksmeelele erakopeerimise tasu jaotuses või kaevatakse nende poolt tehtud otsus mõne KEO poolt edasi halduskohtusse. </w:t>
      </w:r>
    </w:p>
    <w:p w14:paraId="116B6C0D" w14:textId="035075E3" w:rsidR="00B55DDB" w:rsidRPr="00B55DDB" w:rsidRDefault="00A33151" w:rsidP="00B55DDB">
      <w:r>
        <w:rPr>
          <w:b/>
          <w:bCs/>
        </w:rPr>
        <w:t>L</w:t>
      </w:r>
      <w:r w:rsidR="00B55DDB" w:rsidRPr="00B55DDB">
        <w:rPr>
          <w:b/>
          <w:bCs/>
        </w:rPr>
        <w:t>ahendusvariandi a.4</w:t>
      </w:r>
      <w:r w:rsidR="00B55DDB" w:rsidRPr="00B55DDB">
        <w:t xml:space="preserve"> puhul on </w:t>
      </w:r>
      <w:r>
        <w:t>välja pakutud</w:t>
      </w:r>
      <w:r w:rsidR="00B55DDB" w:rsidRPr="00B55DDB">
        <w:t xml:space="preserve">, et komisjon </w:t>
      </w:r>
      <w:r>
        <w:t xml:space="preserve">võiks </w:t>
      </w:r>
      <w:r w:rsidR="00B55DDB" w:rsidRPr="00B55DDB">
        <w:t>lii</w:t>
      </w:r>
      <w:r>
        <w:t xml:space="preserve">kuda Justiitsministeeriumi </w:t>
      </w:r>
      <w:r w:rsidR="00B55DDB" w:rsidRPr="00B55DDB">
        <w:t xml:space="preserve">alt Patendiameti alla ja </w:t>
      </w:r>
      <w:r w:rsidR="006F38DB">
        <w:t>see võiks sarnaneda</w:t>
      </w:r>
      <w:r w:rsidR="00B55DDB" w:rsidRPr="00B55DDB">
        <w:t xml:space="preserve"> olemasolevale autoriõiguse komisjonile, kus on nii valdkonna </w:t>
      </w:r>
      <w:r w:rsidR="00B55DDB" w:rsidRPr="00B55DDB">
        <w:lastRenderedPageBreak/>
        <w:t xml:space="preserve">spetsialistid kui </w:t>
      </w:r>
      <w:r w:rsidR="006F38DB">
        <w:t xml:space="preserve">ka </w:t>
      </w:r>
      <w:proofErr w:type="spellStart"/>
      <w:r w:rsidR="006F38DB">
        <w:t>KEO-de</w:t>
      </w:r>
      <w:proofErr w:type="spellEnd"/>
      <w:r w:rsidR="006F38DB">
        <w:t xml:space="preserve"> </w:t>
      </w:r>
      <w:r w:rsidR="00B55DDB" w:rsidRPr="00B55DDB">
        <w:t xml:space="preserve">esindajad. Komisjoni peaks </w:t>
      </w:r>
      <w:r w:rsidR="006F38DB">
        <w:t xml:space="preserve">sel juhul </w:t>
      </w:r>
      <w:r w:rsidR="00B55DDB" w:rsidRPr="00B55DDB">
        <w:t>VTK kohaselt kuuluma kuue KEO esindajad, kolme ministeeriumi esindajad ja kolme muu seotud asutuse esindajad. J</w:t>
      </w:r>
      <w:r w:rsidR="006F38DB">
        <w:t xml:space="preserve">ustiitsministeerium põhjendab </w:t>
      </w:r>
      <w:r w:rsidR="00B55DDB" w:rsidRPr="00B55DDB">
        <w:t>VTK-s komisjoni viimist Patendiameti alla sellega, et „</w:t>
      </w:r>
      <w:r w:rsidR="00B55DDB" w:rsidRPr="00B55DDB">
        <w:rPr>
          <w:i/>
          <w:iCs/>
        </w:rPr>
        <w:t>Erakopeerimise tasu jaotuskava koostamine on olemuselt rakenduslik ülesanne, mitte õiguspoliitiline tegevus, millest tulenevalt on selle ülesande andmine Justiitsministeeriumilt Patendiametile õigustatud</w:t>
      </w:r>
      <w:r w:rsidR="00B55DDB" w:rsidRPr="00B55DDB">
        <w:t>.“</w:t>
      </w:r>
    </w:p>
    <w:p w14:paraId="611CF8D3" w14:textId="4A5A27EE" w:rsidR="00B55DDB" w:rsidRPr="00B55DDB" w:rsidRDefault="006F38DB" w:rsidP="00B55DDB">
      <w:r>
        <w:t xml:space="preserve">EAÜ ei ole vastu mõttele viia </w:t>
      </w:r>
      <w:r w:rsidR="00B55DDB" w:rsidRPr="00B55DDB">
        <w:t>komisjon Patendiameti</w:t>
      </w:r>
      <w:r>
        <w:t xml:space="preserve"> alla. </w:t>
      </w:r>
      <w:r w:rsidR="00B55DDB" w:rsidRPr="00B55DDB">
        <w:t xml:space="preserve">Viidi ju alates 01.04.2021 (pärast </w:t>
      </w:r>
      <w:proofErr w:type="spellStart"/>
      <w:r w:rsidR="00B55DDB" w:rsidRPr="00B55DDB">
        <w:t>KEO-de</w:t>
      </w:r>
      <w:proofErr w:type="spellEnd"/>
      <w:r w:rsidR="00B55DDB" w:rsidRPr="00B55DDB">
        <w:t xml:space="preserve"> direktiivi 2014/26/EL Eesti </w:t>
      </w:r>
      <w:proofErr w:type="spellStart"/>
      <w:r w:rsidR="00B55DDB" w:rsidRPr="00B55DDB">
        <w:t>AutÕS-sse</w:t>
      </w:r>
      <w:proofErr w:type="spellEnd"/>
      <w:r w:rsidR="00B55DDB" w:rsidRPr="00B55DDB">
        <w:t xml:space="preserve"> ülevõtmist) riikliku järelevalve teostamine </w:t>
      </w:r>
      <w:proofErr w:type="spellStart"/>
      <w:r w:rsidR="00B55DDB" w:rsidRPr="00B55DDB">
        <w:t>KEO-de</w:t>
      </w:r>
      <w:proofErr w:type="spellEnd"/>
      <w:r w:rsidR="00B55DDB" w:rsidRPr="00B55DDB">
        <w:t xml:space="preserve"> tegevuse üle J</w:t>
      </w:r>
      <w:r>
        <w:t xml:space="preserve">ustiitsministeeriumi </w:t>
      </w:r>
      <w:r w:rsidR="00B55DDB" w:rsidRPr="00B55DDB">
        <w:t xml:space="preserve">käest Patendiameti kätte. Seega on Patendiamet organ, milline otsustab, kas tunnustab mingit MTÜ-d kui </w:t>
      </w:r>
      <w:proofErr w:type="spellStart"/>
      <w:r w:rsidR="00B55DDB" w:rsidRPr="00B55DDB">
        <w:t>KEO-d</w:t>
      </w:r>
      <w:proofErr w:type="spellEnd"/>
      <w:r w:rsidR="00B55DDB" w:rsidRPr="00B55DDB">
        <w:t xml:space="preserve">. Samuti teostab Patendiamet mh järelevalvet selle üle, kuidas iga konkreetne KEO temale jaotuskavaga ette nähtud erakopeerimise tasu õiguste omajate vahel jaotab. </w:t>
      </w:r>
    </w:p>
    <w:p w14:paraId="2F82A925" w14:textId="693DC7EE" w:rsidR="00B55DDB" w:rsidRPr="00B55DDB" w:rsidRDefault="006F38DB" w:rsidP="00B55DDB">
      <w:r>
        <w:t xml:space="preserve">EAÜ leiab </w:t>
      </w:r>
      <w:r w:rsidR="00B55DDB" w:rsidRPr="00B55DDB">
        <w:t xml:space="preserve">siiski, et erakopeerimise tasu jaotuskomisjoni liikmete laiendamine sarnaselt autoriõiguse komisjonile, nii et sinna hakkaksid peale </w:t>
      </w:r>
      <w:proofErr w:type="spellStart"/>
      <w:r w:rsidR="00B55DDB" w:rsidRPr="00B55DDB">
        <w:t>KEO-de</w:t>
      </w:r>
      <w:proofErr w:type="spellEnd"/>
      <w:r w:rsidR="00B55DDB" w:rsidRPr="00B55DDB">
        <w:t xml:space="preserve"> esindajate ja Patendiameti esindaja kuuluma veel teiste ministeeriumite ja organisatsioonide esindajad</w:t>
      </w:r>
      <w:r w:rsidR="00B55DDB" w:rsidRPr="00B55DDB">
        <w:rPr>
          <w:vertAlign w:val="superscript"/>
        </w:rPr>
        <w:footnoteReference w:id="5"/>
      </w:r>
      <w:r w:rsidR="00B55DDB" w:rsidRPr="00B55DDB">
        <w:t>, ei ole põhjendatud. Sellekohased vastuargumendid o</w:t>
      </w:r>
      <w:r>
        <w:t xml:space="preserve">n EAÜ </w:t>
      </w:r>
      <w:r w:rsidR="00B55DDB" w:rsidRPr="00B55DDB">
        <w:t xml:space="preserve">toonud juba VKT lahendusvariandi a.3 juures. </w:t>
      </w:r>
      <w:r w:rsidR="00C1204C">
        <w:t xml:space="preserve">Kusjuures autoriõiguse komisjoni puhul on olnud tavapärane, et see </w:t>
      </w:r>
      <w:r w:rsidR="00B55DDB" w:rsidRPr="00B55DDB">
        <w:t xml:space="preserve">komisjon ei ole lepitajana kunagi kogunenud täies koosseisus, vaid </w:t>
      </w:r>
      <w:proofErr w:type="spellStart"/>
      <w:r w:rsidR="00B55DDB" w:rsidRPr="00B55DDB">
        <w:t>vaidlevaid</w:t>
      </w:r>
      <w:proofErr w:type="spellEnd"/>
      <w:r w:rsidR="00B55DDB" w:rsidRPr="00B55DDB">
        <w:t xml:space="preserve"> pooli on asunud lepitama ainult asja vastu huvi tundnud komisjoni liikmed. Seega on ka lahendusvariandi a.4 puhul tõenäoline, et muude organisatsioonide esindajad asuvad positsioonile, et „</w:t>
      </w:r>
      <w:proofErr w:type="spellStart"/>
      <w:r w:rsidR="00B55DDB" w:rsidRPr="00B55DDB">
        <w:t>KEO-de</w:t>
      </w:r>
      <w:proofErr w:type="spellEnd"/>
      <w:r w:rsidR="00B55DDB" w:rsidRPr="00B55DDB">
        <w:t xml:space="preserve"> raha, las vaidlevad“ ja teevad oma otsuse </w:t>
      </w:r>
      <w:r w:rsidR="00C42235">
        <w:t xml:space="preserve">põhjendamatutel </w:t>
      </w:r>
      <w:r w:rsidR="00B55DDB" w:rsidRPr="00B55DDB">
        <w:t xml:space="preserve">kaalutlustel. </w:t>
      </w:r>
    </w:p>
    <w:p w14:paraId="429FB8E6" w14:textId="77777777" w:rsidR="00B55DDB" w:rsidRPr="00B55DDB" w:rsidRDefault="00B55DDB" w:rsidP="00B55DDB">
      <w:r w:rsidRPr="00B55DDB">
        <w:t>Seega sarnaselt variandiga a.3 muutuks ka variandi a.4 puhul komisjoni töö õiguste omajate jaoks vähem läbipaistvaks ja tehtud otsused arusaamatumaks.</w:t>
      </w:r>
    </w:p>
    <w:p w14:paraId="76335A96" w14:textId="77777777" w:rsidR="007436B7" w:rsidRPr="007436B7" w:rsidRDefault="007436B7" w:rsidP="007436B7">
      <w:pPr>
        <w:rPr>
          <w:b/>
          <w:bCs/>
        </w:rPr>
      </w:pPr>
      <w:proofErr w:type="spellStart"/>
      <w:r w:rsidRPr="007436B7">
        <w:rPr>
          <w:b/>
          <w:bCs/>
        </w:rPr>
        <w:t>b.</w:t>
      </w:r>
      <w:proofErr w:type="spellEnd"/>
      <w:r w:rsidRPr="007436B7">
        <w:rPr>
          <w:b/>
          <w:bCs/>
        </w:rPr>
        <w:t xml:space="preserve"> JM roll erakopeerimise tasu jaotamisel</w:t>
      </w:r>
    </w:p>
    <w:p w14:paraId="2B2723A1" w14:textId="77777777" w:rsidR="007436B7" w:rsidRPr="007436B7" w:rsidRDefault="007436B7" w:rsidP="007436B7">
      <w:r w:rsidRPr="007436B7">
        <w:t xml:space="preserve">VTK-s on välja pakutud kolm varianti: </w:t>
      </w:r>
    </w:p>
    <w:p w14:paraId="178EAA23" w14:textId="44C4794F" w:rsidR="007436B7" w:rsidRPr="007436B7" w:rsidRDefault="007436B7" w:rsidP="007436B7">
      <w:pPr>
        <w:numPr>
          <w:ilvl w:val="0"/>
          <w:numId w:val="1"/>
        </w:numPr>
      </w:pPr>
      <w:r w:rsidRPr="007436B7">
        <w:t xml:space="preserve">justiitsminister määraks tasu koguja ning edasine on tasu saamiseks õigustatud isikute esindajate ehk </w:t>
      </w:r>
      <w:proofErr w:type="spellStart"/>
      <w:r w:rsidRPr="007436B7">
        <w:t>KEO-de</w:t>
      </w:r>
      <w:proofErr w:type="spellEnd"/>
      <w:r w:rsidRPr="007436B7">
        <w:t xml:space="preserve"> pädevuses. Selle variandi puhul puuduks vajadus J</w:t>
      </w:r>
      <w:r>
        <w:t>ustiitsministeeriumi</w:t>
      </w:r>
      <w:r w:rsidRPr="007436B7">
        <w:t xml:space="preserve"> poolt komisjoni moodustamise järele ning </w:t>
      </w:r>
      <w:proofErr w:type="spellStart"/>
      <w:r w:rsidRPr="007436B7">
        <w:t>KEO-d</w:t>
      </w:r>
      <w:proofErr w:type="spellEnd"/>
      <w:r w:rsidRPr="007436B7">
        <w:t xml:space="preserve"> lepiksid seaduses sätestatud ajaks iseseisvalt jaotuskavas kokku ning vastavalt saavutatud kokkuleppele jaotatakse summad õiguste omajatele välja. </w:t>
      </w:r>
    </w:p>
    <w:p w14:paraId="5721C19A" w14:textId="4FBD7EB7" w:rsidR="007436B7" w:rsidRPr="007436B7" w:rsidRDefault="007436B7" w:rsidP="007436B7">
      <w:pPr>
        <w:numPr>
          <w:ilvl w:val="0"/>
          <w:numId w:val="1"/>
        </w:numPr>
      </w:pPr>
      <w:r w:rsidRPr="007436B7">
        <w:t>J</w:t>
      </w:r>
      <w:r>
        <w:t>ustiitsministeeriumi</w:t>
      </w:r>
      <w:r w:rsidRPr="007436B7">
        <w:t xml:space="preserve"> roll jaotuskava eest vastutajana jääks muutmata, kui komisjoni koosseisu muudetaks nn erapooletute asjatundjate mudelile (lahendusvariant a.3).</w:t>
      </w:r>
    </w:p>
    <w:p w14:paraId="450D1653" w14:textId="77777777" w:rsidR="007436B7" w:rsidRPr="007436B7" w:rsidRDefault="007436B7" w:rsidP="007436B7">
      <w:pPr>
        <w:numPr>
          <w:ilvl w:val="0"/>
          <w:numId w:val="1"/>
        </w:numPr>
      </w:pPr>
      <w:r w:rsidRPr="007436B7">
        <w:t xml:space="preserve">kui kasutusele võtta nö </w:t>
      </w:r>
      <w:proofErr w:type="spellStart"/>
      <w:r w:rsidRPr="007436B7">
        <w:t>segamudel</w:t>
      </w:r>
      <w:proofErr w:type="spellEnd"/>
      <w:r w:rsidRPr="007436B7">
        <w:t xml:space="preserve"> (lahendusvariant a.4), võtaks </w:t>
      </w:r>
      <w:bookmarkStart w:id="2" w:name="_Hlk156912749"/>
      <w:r w:rsidRPr="007436B7">
        <w:t>praeguse Justiitsministeeriumi rolli jaotuskava kinnitajana üle Patendiamet</w:t>
      </w:r>
      <w:bookmarkEnd w:id="2"/>
      <w:r w:rsidRPr="007436B7">
        <w:t xml:space="preserve">. </w:t>
      </w:r>
    </w:p>
    <w:p w14:paraId="221E3EC7" w14:textId="3CBC6DF8" w:rsidR="007436B7" w:rsidRPr="007436B7" w:rsidRDefault="007436B7" w:rsidP="007436B7">
      <w:r>
        <w:lastRenderedPageBreak/>
        <w:t xml:space="preserve">EAÜ </w:t>
      </w:r>
      <w:r w:rsidRPr="007436B7">
        <w:t>poolda</w:t>
      </w:r>
      <w:r>
        <w:t>b</w:t>
      </w:r>
      <w:r w:rsidRPr="007436B7">
        <w:t xml:space="preserve"> varianti, kus praeguse Justiitsministeeriumi rolli jaotuskava kinnitajana võtaks üle Patendiamet, kuid komisjoni koosseisu kuuluksid peale Patendiameti esindaja ainult Patendiameti poolt tunnustatud </w:t>
      </w:r>
      <w:proofErr w:type="spellStart"/>
      <w:r w:rsidRPr="007436B7">
        <w:t>KEO-de</w:t>
      </w:r>
      <w:proofErr w:type="spellEnd"/>
      <w:r w:rsidRPr="007436B7">
        <w:t xml:space="preserve"> esindajad.</w:t>
      </w:r>
    </w:p>
    <w:p w14:paraId="7D5B1CD9" w14:textId="63E0E605" w:rsidR="007436B7" w:rsidRPr="007436B7" w:rsidRDefault="007436B7" w:rsidP="007436B7">
      <w:r>
        <w:t xml:space="preserve">EAÜ on </w:t>
      </w:r>
      <w:r w:rsidRPr="007436B7">
        <w:t xml:space="preserve">nõus ka VTK punkti b.1 all toodud märkusega, et </w:t>
      </w:r>
      <w:proofErr w:type="spellStart"/>
      <w:r w:rsidRPr="007436B7">
        <w:t>AutÕS</w:t>
      </w:r>
      <w:proofErr w:type="spellEnd"/>
      <w:r w:rsidRPr="007436B7">
        <w:t xml:space="preserve"> § 27 lõikes 11 sätestatud tähtaeg</w:t>
      </w:r>
      <w:r w:rsidRPr="007436B7">
        <w:rPr>
          <w:vertAlign w:val="superscript"/>
        </w:rPr>
        <w:footnoteReference w:id="6"/>
      </w:r>
      <w:r w:rsidRPr="007436B7">
        <w:t xml:space="preserve"> jaotuskava kinnitamiseks on liiga lühike ja see võiks olla pikem. Näiteks võiks jaotuskava olla kinnitatud kuus kuud peale eelarveaasta lõppu.</w:t>
      </w:r>
    </w:p>
    <w:p w14:paraId="2B6EB8C1" w14:textId="77777777" w:rsidR="007436B7" w:rsidRPr="007436B7" w:rsidRDefault="007436B7" w:rsidP="007436B7">
      <w:pPr>
        <w:rPr>
          <w:b/>
          <w:bCs/>
          <w:sz w:val="22"/>
          <w:szCs w:val="22"/>
        </w:rPr>
      </w:pPr>
      <w:proofErr w:type="spellStart"/>
      <w:r w:rsidRPr="007436B7">
        <w:rPr>
          <w:b/>
          <w:bCs/>
          <w:sz w:val="22"/>
          <w:szCs w:val="22"/>
        </w:rPr>
        <w:t>c.</w:t>
      </w:r>
      <w:proofErr w:type="spellEnd"/>
      <w:r w:rsidRPr="007436B7">
        <w:rPr>
          <w:b/>
          <w:bCs/>
          <w:sz w:val="22"/>
          <w:szCs w:val="22"/>
        </w:rPr>
        <w:t xml:space="preserve"> erakopeerimise tasust 10% ulatuses jaotatavate toetuste taotlemine ja aruannete esitamine</w:t>
      </w:r>
    </w:p>
    <w:p w14:paraId="51B28AC5" w14:textId="6D771E34" w:rsidR="007436B7" w:rsidRPr="007436B7" w:rsidRDefault="007436B7" w:rsidP="007436B7">
      <w:r w:rsidRPr="007436B7">
        <w:t xml:space="preserve">Kuni 10% kogutud erakopeerimise tasust võib maksta organisatsioonidele muusika- ja filmikultuuri arendamiseks ning koolitus- ja teadusprogrammide finantseerimiseks või kasutamiseks muudel analoogsetel eesmärkidel. Taotluste menetlemise läbipaistvuse suurendamiseks on vaja koostada taotlus- ja aruandlusvorm, mis oleks toetuste taotlejatele ning toetuste saajatele kättesaadav. Küsimus ongi antud juhul selles, kellele taotlused ja aruanded esitatakse. </w:t>
      </w:r>
      <w:r w:rsidR="00696123">
        <w:t>VTK-s väljapakutud v</w:t>
      </w:r>
      <w:r w:rsidRPr="007436B7">
        <w:t>ariante on kolm:</w:t>
      </w:r>
    </w:p>
    <w:p w14:paraId="49828C6B" w14:textId="4013F3EA" w:rsidR="007436B7" w:rsidRPr="007436B7" w:rsidRDefault="007436B7" w:rsidP="007436B7">
      <w:pPr>
        <w:numPr>
          <w:ilvl w:val="0"/>
          <w:numId w:val="1"/>
        </w:numPr>
      </w:pPr>
      <w:r w:rsidRPr="007436B7">
        <w:t>juhul kui J</w:t>
      </w:r>
      <w:r w:rsidR="00DE6CAF">
        <w:t>ustiitsministeerium</w:t>
      </w:r>
      <w:r w:rsidRPr="007436B7">
        <w:t xml:space="preserve"> jääb isikuks, milline peab komisjoni koosseisu kinnitama, siis tuleks toetuse taotlused ja aruanded esitada jätkuvalt J</w:t>
      </w:r>
      <w:r w:rsidR="00DE6CAF">
        <w:t>ustiitsministeeriumile</w:t>
      </w:r>
      <w:r w:rsidRPr="007436B7">
        <w:t>,</w:t>
      </w:r>
    </w:p>
    <w:p w14:paraId="3051D172" w14:textId="43AEBEDE" w:rsidR="007436B7" w:rsidRPr="007436B7" w:rsidRDefault="007436B7" w:rsidP="007436B7">
      <w:pPr>
        <w:numPr>
          <w:ilvl w:val="0"/>
          <w:numId w:val="1"/>
        </w:numPr>
      </w:pPr>
      <w:r w:rsidRPr="007436B7">
        <w:t>juhul kui J</w:t>
      </w:r>
      <w:r w:rsidR="00DE6CAF">
        <w:t>ustiitsministeeriumi</w:t>
      </w:r>
      <w:r w:rsidRPr="007436B7">
        <w:t xml:space="preserve"> roll erakopeerimise tasu jagamisel kaob, tuleks toetuse saamise avaldused ja aruanded esitada hoopis tasu kogujale (antud hetkel </w:t>
      </w:r>
      <w:proofErr w:type="spellStart"/>
      <w:r w:rsidRPr="007436B7">
        <w:t>EAÜ-le</w:t>
      </w:r>
      <w:proofErr w:type="spellEnd"/>
      <w:r w:rsidRPr="007436B7">
        <w:t xml:space="preserve">), kes teistele jaotuskava väljatöötamisel osalevatele </w:t>
      </w:r>
      <w:proofErr w:type="spellStart"/>
      <w:r w:rsidRPr="007436B7">
        <w:t>KEO-dele</w:t>
      </w:r>
      <w:proofErr w:type="spellEnd"/>
      <w:r w:rsidRPr="007436B7">
        <w:t xml:space="preserve"> siis vastava info taotluste hindamiseks ja otsuste tegemiseks edastab.</w:t>
      </w:r>
    </w:p>
    <w:p w14:paraId="4DDCBD75" w14:textId="6688F68D" w:rsidR="007436B7" w:rsidRPr="007436B7" w:rsidRDefault="007436B7" w:rsidP="007436B7">
      <w:pPr>
        <w:numPr>
          <w:ilvl w:val="0"/>
          <w:numId w:val="1"/>
        </w:numPr>
      </w:pPr>
      <w:r w:rsidRPr="007436B7">
        <w:t>juhul kui komisjoni töö korraldamine läheb J</w:t>
      </w:r>
      <w:r w:rsidR="00DE6CAF">
        <w:t>ustiitsministeeriumilt</w:t>
      </w:r>
      <w:r w:rsidRPr="007436B7">
        <w:t xml:space="preserve"> üle Patendiametile, tuleks taotlejatel avaldused ja aruanded esitada Patendiametile. Sellisel juhul tuleks taotlus- ja aruandlusvorm lisada Patendiameti kodulehele.</w:t>
      </w:r>
    </w:p>
    <w:p w14:paraId="129220F6" w14:textId="77777777" w:rsidR="0034348D" w:rsidRDefault="007436B7" w:rsidP="009828AF">
      <w:r w:rsidRPr="007436B7">
        <w:t>Kuna see 10% ei lähe otseselt õiguste omajatele erakopeerimise erandiga tekitatud kahju hüvitamiseks, vaid erinevatele organisatsioonidele kultuuri arendamiseks või programmide finantseerimiseks, siis peaks esitatavate taotluste ja aruannetega tegelema endiselt kas J</w:t>
      </w:r>
      <w:r w:rsidR="00DE6CAF">
        <w:t>ustiitsministeerium</w:t>
      </w:r>
      <w:r w:rsidRPr="007436B7">
        <w:t xml:space="preserve"> või viimase asemel Patendiamet. Tasu koguja (ehk EAÜ) ülesandeks jääks ainult toetuse saajatele vastavate toetusesummade väljamaksmine. Kui siiski otsustatakse, et J</w:t>
      </w:r>
      <w:r w:rsidR="00DE6CAF">
        <w:t>ustiitsministeeriumi</w:t>
      </w:r>
      <w:r w:rsidRPr="007436B7">
        <w:t xml:space="preserve"> roll komisjoni moodustamise osas kaob ja seda rolli ei anta ka Patendiametile, vaid </w:t>
      </w:r>
      <w:proofErr w:type="spellStart"/>
      <w:r w:rsidRPr="007436B7">
        <w:t>KEO-d</w:t>
      </w:r>
      <w:proofErr w:type="spellEnd"/>
      <w:r w:rsidRPr="007436B7">
        <w:t xml:space="preserve"> peavad ise jaotuskavas kokku leppima, siis jääb tasu koguvale </w:t>
      </w:r>
      <w:proofErr w:type="spellStart"/>
      <w:r w:rsidRPr="007436B7">
        <w:t>KEO-le</w:t>
      </w:r>
      <w:proofErr w:type="spellEnd"/>
      <w:r w:rsidRPr="007436B7">
        <w:t xml:space="preserve"> mitte ainult toetuste väljamaksmine vaid ka taotluste ja aruannetega tegelemine</w:t>
      </w:r>
      <w:r w:rsidR="00C42235">
        <w:t>, mistõttu tõuseksid tasu kogumisega seotud kulud</w:t>
      </w:r>
      <w:r w:rsidRPr="007436B7">
        <w:t>.</w:t>
      </w:r>
    </w:p>
    <w:p w14:paraId="2427258D" w14:textId="252B8B77" w:rsidR="00CE1740" w:rsidRPr="00435642" w:rsidRDefault="00F44A80" w:rsidP="009828AF">
      <w:pPr>
        <w:rPr>
          <w:b/>
          <w:bCs/>
          <w:sz w:val="22"/>
          <w:szCs w:val="22"/>
        </w:rPr>
      </w:pPr>
      <w:r w:rsidRPr="00435642">
        <w:rPr>
          <w:b/>
          <w:bCs/>
          <w:sz w:val="22"/>
          <w:szCs w:val="22"/>
        </w:rPr>
        <w:t xml:space="preserve">EAÜ </w:t>
      </w:r>
      <w:r w:rsidR="008B3219" w:rsidRPr="00435642">
        <w:rPr>
          <w:b/>
          <w:bCs/>
          <w:sz w:val="22"/>
          <w:szCs w:val="22"/>
        </w:rPr>
        <w:t xml:space="preserve">täiendavad </w:t>
      </w:r>
      <w:r w:rsidRPr="00435642">
        <w:rPr>
          <w:b/>
          <w:bCs/>
          <w:sz w:val="22"/>
          <w:szCs w:val="22"/>
        </w:rPr>
        <w:t>seisukohad erakopeerimise tasu osas, sh tasu jaotamisega seotud probleemide lahendamiseks</w:t>
      </w:r>
      <w:r w:rsidR="00435642" w:rsidRPr="00435642">
        <w:rPr>
          <w:b/>
          <w:bCs/>
          <w:sz w:val="22"/>
          <w:szCs w:val="22"/>
        </w:rPr>
        <w:t>:</w:t>
      </w:r>
    </w:p>
    <w:p w14:paraId="02D85AAF" w14:textId="4275B525" w:rsidR="0015698F" w:rsidRDefault="0015698F" w:rsidP="00FB17E6">
      <w:pPr>
        <w:numPr>
          <w:ilvl w:val="0"/>
          <w:numId w:val="2"/>
        </w:numPr>
      </w:pPr>
      <w:r>
        <w:t xml:space="preserve">EAÜ arvates tuleks komisjoni koostamiseks leida </w:t>
      </w:r>
      <w:r w:rsidR="00F3688C">
        <w:t xml:space="preserve">täiesti uus </w:t>
      </w:r>
      <w:r>
        <w:t>lahendusvariant</w:t>
      </w:r>
      <w:r w:rsidR="00F3688C">
        <w:t xml:space="preserve"> (n-ö lahendusvariant a.5)</w:t>
      </w:r>
      <w:r>
        <w:t xml:space="preserve">, mis </w:t>
      </w:r>
      <w:r w:rsidR="00132526">
        <w:t xml:space="preserve">ei oleks kaldu kaasnevate õiguste omajate poole, vaid kus autoriõigused oleksid kaasnevate õigustega võrdsed. Lisaks tuleks komisjoni koostamisel </w:t>
      </w:r>
      <w:r w:rsidR="00132526">
        <w:lastRenderedPageBreak/>
        <w:t>a</w:t>
      </w:r>
      <w:r>
        <w:t>rvesta</w:t>
      </w:r>
      <w:r w:rsidR="00132526">
        <w:t>da</w:t>
      </w:r>
      <w:r>
        <w:t xml:space="preserve"> </w:t>
      </w:r>
      <w:proofErr w:type="spellStart"/>
      <w:r w:rsidR="00E1569C">
        <w:t>KEO-de</w:t>
      </w:r>
      <w:proofErr w:type="spellEnd"/>
      <w:r w:rsidR="00E1569C">
        <w:t xml:space="preserve"> sisulist tegevust</w:t>
      </w:r>
      <w:r w:rsidR="00132526">
        <w:t xml:space="preserve"> ja nende poolt </w:t>
      </w:r>
      <w:r w:rsidR="00E1569C">
        <w:t>esindatavate õiguste omajate hulka</w:t>
      </w:r>
      <w:r w:rsidR="00132526">
        <w:t xml:space="preserve"> ehk sisuliselt </w:t>
      </w:r>
      <w:r w:rsidR="00E1569C">
        <w:t xml:space="preserve">kahju suurust, mida läbi </w:t>
      </w:r>
      <w:r w:rsidR="000228E8">
        <w:t xml:space="preserve">vastava </w:t>
      </w:r>
      <w:r w:rsidR="00E1569C">
        <w:t xml:space="preserve">KEO </w:t>
      </w:r>
      <w:r w:rsidR="00132526">
        <w:t xml:space="preserve">saab </w:t>
      </w:r>
      <w:r w:rsidR="00E1569C">
        <w:t>kompenseerida.</w:t>
      </w:r>
    </w:p>
    <w:p w14:paraId="1B0BF85A" w14:textId="38B3253B" w:rsidR="000228E8" w:rsidRDefault="00132526" w:rsidP="00132526">
      <w:pPr>
        <w:ind w:left="720"/>
      </w:pPr>
      <w:r>
        <w:t xml:space="preserve">Praegu on Patendiameti poolt tunnustatud </w:t>
      </w:r>
      <w:proofErr w:type="spellStart"/>
      <w:r>
        <w:t>KEO-sid</w:t>
      </w:r>
      <w:proofErr w:type="spellEnd"/>
      <w:r w:rsidR="009727D0">
        <w:t xml:space="preserve"> </w:t>
      </w:r>
      <w:r w:rsidR="000228E8">
        <w:t>kuus</w:t>
      </w:r>
      <w:r>
        <w:t xml:space="preserve">, </w:t>
      </w:r>
      <w:r w:rsidR="009727D0">
        <w:t xml:space="preserve">kusjuures neist neljal (EAÜ, EAAL, EEL, EFÜ) on olemas ülemaailmne esindatus ja kahel (ENL ja FETÜ) see puudub. </w:t>
      </w:r>
    </w:p>
    <w:p w14:paraId="7FA7BE44" w14:textId="5290E0C6" w:rsidR="00713414" w:rsidRDefault="009727D0" w:rsidP="00132526">
      <w:pPr>
        <w:ind w:left="720"/>
      </w:pPr>
      <w:r>
        <w:t xml:space="preserve">Seega oleks õiglane ja põhjendatud, kui autorite õigusi esindavatel </w:t>
      </w:r>
      <w:proofErr w:type="spellStart"/>
      <w:r>
        <w:t>KEO-del</w:t>
      </w:r>
      <w:proofErr w:type="spellEnd"/>
      <w:r>
        <w:t xml:space="preserve"> ja kaasnevate õiguste omajaid esindavatel </w:t>
      </w:r>
      <w:proofErr w:type="spellStart"/>
      <w:r>
        <w:t>KEO-del</w:t>
      </w:r>
      <w:proofErr w:type="spellEnd"/>
      <w:r>
        <w:t xml:space="preserve"> oleks komisjonis hääli võrdselt </w:t>
      </w:r>
      <w:r w:rsidR="00713414">
        <w:t xml:space="preserve">ning nendel </w:t>
      </w:r>
      <w:proofErr w:type="spellStart"/>
      <w:r w:rsidR="00713414">
        <w:t>KEO-del</w:t>
      </w:r>
      <w:proofErr w:type="spellEnd"/>
      <w:r w:rsidR="00713414">
        <w:t xml:space="preserve">, kellel on ülemaailmne esindatus, oleks rohkem hääli </w:t>
      </w:r>
      <w:r w:rsidR="00006E29">
        <w:t xml:space="preserve">võrreldes nende </w:t>
      </w:r>
      <w:proofErr w:type="spellStart"/>
      <w:r w:rsidR="00006E29">
        <w:t>KEO-dega</w:t>
      </w:r>
      <w:proofErr w:type="spellEnd"/>
      <w:r w:rsidR="00006E29">
        <w:t xml:space="preserve">, kellel see puudub. Näiteks võiksid komisjoni kuuluvate </w:t>
      </w:r>
      <w:proofErr w:type="spellStart"/>
      <w:r w:rsidR="00006E29">
        <w:t>KEO-de</w:t>
      </w:r>
      <w:proofErr w:type="spellEnd"/>
      <w:r w:rsidR="00006E29">
        <w:t xml:space="preserve"> hääled jaguneda järgmiselt:</w:t>
      </w:r>
    </w:p>
    <w:p w14:paraId="2A7951F7" w14:textId="77777777" w:rsidR="00006E29" w:rsidRDefault="009727D0" w:rsidP="00713414">
      <w:pPr>
        <w:pStyle w:val="ListParagraph"/>
        <w:numPr>
          <w:ilvl w:val="0"/>
          <w:numId w:val="6"/>
        </w:numPr>
      </w:pPr>
      <w:r>
        <w:t xml:space="preserve">50% häältest kuuluksid </w:t>
      </w:r>
      <w:r w:rsidR="00713414">
        <w:t xml:space="preserve">autoreid esindavatele </w:t>
      </w:r>
      <w:proofErr w:type="spellStart"/>
      <w:r>
        <w:t>EAÜ-le</w:t>
      </w:r>
      <w:proofErr w:type="spellEnd"/>
      <w:r>
        <w:t xml:space="preserve"> ja </w:t>
      </w:r>
      <w:proofErr w:type="spellStart"/>
      <w:r>
        <w:t>EAAL-ile</w:t>
      </w:r>
      <w:proofErr w:type="spellEnd"/>
      <w:r>
        <w:t xml:space="preserve"> </w:t>
      </w:r>
      <w:r w:rsidR="00713414">
        <w:t xml:space="preserve">ning kuna mõlemal </w:t>
      </w:r>
      <w:proofErr w:type="spellStart"/>
      <w:r w:rsidR="00713414">
        <w:t>KEO-l</w:t>
      </w:r>
      <w:proofErr w:type="spellEnd"/>
      <w:r w:rsidR="00713414">
        <w:t xml:space="preserve"> on olemas ülemaailmne esindatus, siis oleks neil mõlemal 3 häält </w:t>
      </w:r>
      <w:r w:rsidR="00006E29">
        <w:t>ehk kokku 6 häält;</w:t>
      </w:r>
    </w:p>
    <w:p w14:paraId="26C9518A" w14:textId="0D9EF8F0" w:rsidR="00132526" w:rsidRDefault="00006E29" w:rsidP="00713414">
      <w:pPr>
        <w:pStyle w:val="ListParagraph"/>
        <w:numPr>
          <w:ilvl w:val="0"/>
          <w:numId w:val="6"/>
        </w:numPr>
      </w:pPr>
      <w:r>
        <w:t xml:space="preserve">50% häältest kuuluksid kaasnevate õiguste omajaid esindavatele </w:t>
      </w:r>
      <w:proofErr w:type="spellStart"/>
      <w:r w:rsidR="009727D0">
        <w:t>EFÜ-le</w:t>
      </w:r>
      <w:proofErr w:type="spellEnd"/>
      <w:r w:rsidR="009727D0">
        <w:t xml:space="preserve">, </w:t>
      </w:r>
      <w:proofErr w:type="spellStart"/>
      <w:r w:rsidR="009727D0">
        <w:t>EEL-ile</w:t>
      </w:r>
      <w:proofErr w:type="spellEnd"/>
      <w:r w:rsidR="009727D0">
        <w:t xml:space="preserve">, </w:t>
      </w:r>
      <w:proofErr w:type="spellStart"/>
      <w:r w:rsidR="009727D0">
        <w:t>ENL-ile</w:t>
      </w:r>
      <w:proofErr w:type="spellEnd"/>
      <w:r w:rsidR="009727D0">
        <w:t xml:space="preserve"> ja </w:t>
      </w:r>
      <w:proofErr w:type="spellStart"/>
      <w:r w:rsidR="009727D0">
        <w:t>FETÜ-le</w:t>
      </w:r>
      <w:proofErr w:type="spellEnd"/>
      <w:r w:rsidR="009727D0">
        <w:t xml:space="preserve">. </w:t>
      </w:r>
      <w:r w:rsidR="00713414">
        <w:t>Ku</w:t>
      </w:r>
      <w:r>
        <w:t xml:space="preserve">na EFÜ-l ja </w:t>
      </w:r>
      <w:proofErr w:type="spellStart"/>
      <w:r>
        <w:t>EEL-il</w:t>
      </w:r>
      <w:proofErr w:type="spellEnd"/>
      <w:r>
        <w:t xml:space="preserve"> on olemas ülemaailmne esindatus, siis neil oleks kaks korda rohkem hääli kui </w:t>
      </w:r>
      <w:proofErr w:type="spellStart"/>
      <w:r>
        <w:t>ENL-il</w:t>
      </w:r>
      <w:proofErr w:type="spellEnd"/>
      <w:r>
        <w:t xml:space="preserve"> ja </w:t>
      </w:r>
      <w:proofErr w:type="spellStart"/>
      <w:r>
        <w:t>FETÜ-l</w:t>
      </w:r>
      <w:proofErr w:type="spellEnd"/>
      <w:r w:rsidR="000228E8">
        <w:t>,</w:t>
      </w:r>
      <w:r>
        <w:t xml:space="preserve"> kellel ülemaailmne esindatus puudub, mis tähendab, et EFÜ-l ja </w:t>
      </w:r>
      <w:proofErr w:type="spellStart"/>
      <w:r>
        <w:t>EEL-il</w:t>
      </w:r>
      <w:proofErr w:type="spellEnd"/>
      <w:r>
        <w:t xml:space="preserve"> oleks mõlemal 2 häält ja </w:t>
      </w:r>
      <w:proofErr w:type="spellStart"/>
      <w:r>
        <w:t>ENL-il</w:t>
      </w:r>
      <w:proofErr w:type="spellEnd"/>
      <w:r>
        <w:t xml:space="preserve"> ja </w:t>
      </w:r>
      <w:proofErr w:type="spellStart"/>
      <w:r>
        <w:t>FETÜ-l</w:t>
      </w:r>
      <w:proofErr w:type="spellEnd"/>
      <w:r>
        <w:t xml:space="preserve"> oleks mõlemal 1 hääl. Seega kokku oleks kaasnevaid õigusi esindavatel </w:t>
      </w:r>
      <w:proofErr w:type="spellStart"/>
      <w:r>
        <w:t>KEO-del</w:t>
      </w:r>
      <w:proofErr w:type="spellEnd"/>
      <w:r>
        <w:t xml:space="preserve"> samuti 6 häält. </w:t>
      </w:r>
    </w:p>
    <w:p w14:paraId="5A66B9C8" w14:textId="5C74AB31" w:rsidR="00FB17E6" w:rsidRPr="00FB17E6" w:rsidRDefault="00FB17E6" w:rsidP="00FB17E6">
      <w:pPr>
        <w:numPr>
          <w:ilvl w:val="0"/>
          <w:numId w:val="2"/>
        </w:numPr>
      </w:pPr>
      <w:r w:rsidRPr="00FB17E6">
        <w:t>J</w:t>
      </w:r>
      <w:r w:rsidR="007A2E58">
        <w:t xml:space="preserve">ustiitsministeeriumi </w:t>
      </w:r>
      <w:r w:rsidRPr="00FB17E6">
        <w:t xml:space="preserve">kodulehel </w:t>
      </w:r>
      <w:r w:rsidR="007A2E58">
        <w:t xml:space="preserve">on </w:t>
      </w:r>
      <w:r w:rsidRPr="00FB17E6">
        <w:t>avaldatud „Erakopeerimise tasu aruan</w:t>
      </w:r>
      <w:r w:rsidR="008B3219">
        <w:t>ne</w:t>
      </w:r>
      <w:r w:rsidRPr="00FB17E6">
        <w:t>“</w:t>
      </w:r>
      <w:r w:rsidRPr="00FB17E6">
        <w:rPr>
          <w:vertAlign w:val="superscript"/>
        </w:rPr>
        <w:footnoteReference w:id="7"/>
      </w:r>
      <w:r w:rsidRPr="00FB17E6">
        <w:t xml:space="preserve"> mille koostasid J</w:t>
      </w:r>
      <w:r w:rsidR="007A2E58">
        <w:t xml:space="preserve">ustiitsministeeriumi </w:t>
      </w:r>
      <w:r w:rsidRPr="00FB17E6">
        <w:t xml:space="preserve">tellimusel TÜ õigusteaduskonnast professorid Aleksei Kelli ja Age Värv. Uuriti erinevate riikide praktikat küsimuses, et kuidas erakopeerimise hüvitis jaotatakse erinevate </w:t>
      </w:r>
      <w:proofErr w:type="spellStart"/>
      <w:r w:rsidRPr="00FB17E6">
        <w:t>KEO-de</w:t>
      </w:r>
      <w:proofErr w:type="spellEnd"/>
      <w:r w:rsidRPr="00FB17E6">
        <w:t xml:space="preserve"> vahel, millistest kriteeriumitest lähtutakse ning kes selle otsustab. Uuringu võrdlusriikideks võeti Euroopa Liitu kuuluvad Eesti naaberriigid: Läti, Leedu, Soome, Rootsi. Ning kuna Eesti õigussüsteemi ülesehitamisel on ulatuslikult tuginetud Saksamaa eeskujule, siis lisati võrdlusriikide hulka ka Saksamaal ning lisaks ka Austria. </w:t>
      </w:r>
    </w:p>
    <w:p w14:paraId="4892A91B" w14:textId="66ECA7DF" w:rsidR="00F44A80" w:rsidRPr="00F44A80" w:rsidRDefault="00FB17E6" w:rsidP="00FB17E6">
      <w:pPr>
        <w:ind w:left="720"/>
      </w:pPr>
      <w:r>
        <w:t xml:space="preserve">EAÜ arvates saab erakopeerimise tasu jagamise mudeli kujundamisel rahvusvahelist praktikat arvesse võtta, kuid selle ühtsel puudumisel tuleks lähtuda ka Eesti turu eripäradest. </w:t>
      </w:r>
      <w:r w:rsidR="007A2E58">
        <w:t xml:space="preserve">Eelnimetatud uuringust nähtubki, et vastavad </w:t>
      </w:r>
      <w:r w:rsidRPr="00F44A80">
        <w:t>metoodikad on rahvusvahelise</w:t>
      </w:r>
      <w:r w:rsidR="007A2E58">
        <w:t>lt</w:t>
      </w:r>
      <w:r w:rsidRPr="00F44A80">
        <w:t xml:space="preserve"> üpris erinevad, </w:t>
      </w:r>
      <w:r w:rsidR="007A2E58">
        <w:t>milles</w:t>
      </w:r>
      <w:r w:rsidR="008B3219">
        <w:t>t</w:t>
      </w:r>
      <w:r w:rsidR="007A2E58">
        <w:t xml:space="preserve"> </w:t>
      </w:r>
      <w:r w:rsidRPr="00F44A80">
        <w:t xml:space="preserve">saab järeldada, et igal pool on </w:t>
      </w:r>
      <w:r w:rsidR="007A2E58">
        <w:t xml:space="preserve">ka </w:t>
      </w:r>
      <w:r w:rsidRPr="00F44A80">
        <w:t>kohalikku konteksti arvesse võetud.</w:t>
      </w:r>
    </w:p>
    <w:p w14:paraId="33BFCDDD" w14:textId="7F0AED60" w:rsidR="007A2E58" w:rsidRDefault="007A2E58" w:rsidP="007D34E3">
      <w:pPr>
        <w:pStyle w:val="ListParagraph"/>
        <w:numPr>
          <w:ilvl w:val="0"/>
          <w:numId w:val="2"/>
        </w:numPr>
      </w:pPr>
      <w:r w:rsidRPr="007A2E58">
        <w:t xml:space="preserve">Jaotuskavad peavad tuginema uuringutega kogutud empiirilistel andmetel erinevate seadmete kasutusviiside ja -intensiivsuse kohta teostest või kaasnevate õiguste objektidest koopiate tegemisel. Iga seadmekategooria osas tuleks teha eraldi jaotuskava. Nimelt tuleb suur osa kogutavast tasust üksikute seadmegruppide pealt (mobiilid, arvutid, tahvelarvutid) ja kui mobiilile kopeeritakse peamiselt muusikat, siis peaks see olema </w:t>
      </w:r>
      <w:r>
        <w:t xml:space="preserve">peamiselt </w:t>
      </w:r>
      <w:r w:rsidRPr="007A2E58">
        <w:t xml:space="preserve">ka </w:t>
      </w:r>
      <w:r w:rsidR="00B533C2">
        <w:t>audio</w:t>
      </w:r>
      <w:r w:rsidRPr="007A2E58">
        <w:t xml:space="preserve">valdkonna kompensatsioon ja vastupidi – kui </w:t>
      </w:r>
      <w:r w:rsidR="00C42235">
        <w:t>sülearvutile</w:t>
      </w:r>
      <w:r w:rsidR="00C42235" w:rsidRPr="007A2E58">
        <w:t xml:space="preserve"> </w:t>
      </w:r>
      <w:r w:rsidRPr="007A2E58">
        <w:t>kopeeritakse peamiselt filme/sarju jne, siis see peaks peamiselt minema audiovisuaal</w:t>
      </w:r>
      <w:r w:rsidR="00B533C2">
        <w:t>valdkonna</w:t>
      </w:r>
      <w:r w:rsidRPr="007A2E58">
        <w:t xml:space="preserve"> jaotusesse. </w:t>
      </w:r>
      <w:r w:rsidR="00B533C2">
        <w:t xml:space="preserve">Näitena võib siinkohal tuua </w:t>
      </w:r>
      <w:r w:rsidRPr="007A2E58">
        <w:t>Ungari jaotusvõtme</w:t>
      </w:r>
      <w:r w:rsidR="00C42235">
        <w:t xml:space="preserve"> (inglise keeles)</w:t>
      </w:r>
      <w:r w:rsidRPr="007A2E58">
        <w:t>, mis tugineb 2023</w:t>
      </w:r>
      <w:r w:rsidR="00B533C2">
        <w:t xml:space="preserve">. aasta </w:t>
      </w:r>
      <w:r w:rsidRPr="007A2E58">
        <w:t xml:space="preserve">turu-uuringul ning mida rakendatakse 2024. aasta jaotusel. </w:t>
      </w:r>
      <w:r w:rsidR="00B533C2">
        <w:t>Ungaris on üks kõige pikemalt erakopeerimise süsteemiga tegelenud riike ja nende sellealaseid kogemusi tasuks kindlasti arvesse võtta.</w:t>
      </w:r>
    </w:p>
    <w:p w14:paraId="5C918BDF" w14:textId="77777777" w:rsidR="00B533C2" w:rsidRPr="00B533C2" w:rsidRDefault="00B533C2" w:rsidP="00B533C2">
      <w:pPr>
        <w:pStyle w:val="ListParagraph"/>
        <w:rPr>
          <w:rFonts w:ascii="Calibri" w:hAnsi="Calibri"/>
          <w:szCs w:val="22"/>
          <w:lang w:val="hu-HU"/>
        </w:rPr>
      </w:pPr>
    </w:p>
    <w:tbl>
      <w:tblPr>
        <w:tblW w:w="9212" w:type="dxa"/>
        <w:tblCellMar>
          <w:left w:w="0" w:type="dxa"/>
          <w:right w:w="0" w:type="dxa"/>
        </w:tblCellMar>
        <w:tblLook w:val="04A0" w:firstRow="1" w:lastRow="0" w:firstColumn="1" w:lastColumn="0" w:noHBand="0" w:noVBand="1"/>
      </w:tblPr>
      <w:tblGrid>
        <w:gridCol w:w="5125"/>
        <w:gridCol w:w="2003"/>
        <w:gridCol w:w="2084"/>
      </w:tblGrid>
      <w:tr w:rsidR="00B533C2" w14:paraId="768885C9" w14:textId="77777777" w:rsidTr="00B533C2">
        <w:tc>
          <w:tcPr>
            <w:tcW w:w="5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FD23C" w14:textId="77777777" w:rsidR="00B533C2" w:rsidRPr="0034348D" w:rsidRDefault="00B533C2">
            <w:pPr>
              <w:spacing w:line="252" w:lineRule="auto"/>
              <w:rPr>
                <w:lang w:val="en-GB"/>
                <w14:ligatures w14:val="standardContextual"/>
              </w:rPr>
            </w:pPr>
            <w:r w:rsidRPr="0034348D">
              <w:rPr>
                <w:lang w:val="en-GB"/>
                <w14:ligatures w14:val="standardContextual"/>
              </w:rPr>
              <w:lastRenderedPageBreak/>
              <w:t>Type of carrier/device</w:t>
            </w:r>
          </w:p>
        </w:tc>
        <w:tc>
          <w:tcPr>
            <w:tcW w:w="20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213B0A" w14:textId="77777777" w:rsidR="00B533C2" w:rsidRPr="0034348D" w:rsidRDefault="00B533C2">
            <w:pPr>
              <w:spacing w:line="252" w:lineRule="auto"/>
              <w:rPr>
                <w:lang w:val="en-GB"/>
                <w14:ligatures w14:val="standardContextual"/>
              </w:rPr>
            </w:pPr>
            <w:r w:rsidRPr="0034348D">
              <w:rPr>
                <w:lang w:val="en-GB"/>
                <w14:ligatures w14:val="standardContextual"/>
              </w:rPr>
              <w:t>Allocated as audio carrier (%)</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E2B00C" w14:textId="77777777" w:rsidR="00B533C2" w:rsidRPr="0034348D" w:rsidRDefault="00B533C2">
            <w:pPr>
              <w:spacing w:line="252" w:lineRule="auto"/>
              <w:rPr>
                <w:lang w:val="en-GB"/>
                <w14:ligatures w14:val="standardContextual"/>
              </w:rPr>
            </w:pPr>
            <w:r w:rsidRPr="0034348D">
              <w:rPr>
                <w:lang w:val="en-GB"/>
                <w14:ligatures w14:val="standardContextual"/>
              </w:rPr>
              <w:t>Allocated as video/image carrier (%)</w:t>
            </w:r>
          </w:p>
        </w:tc>
      </w:tr>
      <w:tr w:rsidR="00B533C2" w14:paraId="44D67F5C" w14:textId="77777777" w:rsidTr="00B533C2">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17085" w14:textId="77777777" w:rsidR="00B533C2" w:rsidRPr="0034348D" w:rsidRDefault="00B533C2">
            <w:pPr>
              <w:spacing w:line="252" w:lineRule="auto"/>
              <w:rPr>
                <w:lang w:val="en-GB"/>
                <w14:ligatures w14:val="standardContextual"/>
              </w:rPr>
            </w:pPr>
            <w:proofErr w:type="spellStart"/>
            <w:r w:rsidRPr="0034348D">
              <w:rPr>
                <w:lang w:val="en-GB"/>
                <w14:ligatures w14:val="standardContextual"/>
              </w:rPr>
              <w:t>Audiocasette</w:t>
            </w:r>
            <w:proofErr w:type="spellEnd"/>
          </w:p>
        </w:tc>
        <w:tc>
          <w:tcPr>
            <w:tcW w:w="2003" w:type="dxa"/>
            <w:tcBorders>
              <w:top w:val="nil"/>
              <w:left w:val="nil"/>
              <w:bottom w:val="single" w:sz="8" w:space="0" w:color="auto"/>
              <w:right w:val="single" w:sz="8" w:space="0" w:color="auto"/>
            </w:tcBorders>
            <w:tcMar>
              <w:top w:w="0" w:type="dxa"/>
              <w:left w:w="108" w:type="dxa"/>
              <w:bottom w:w="0" w:type="dxa"/>
              <w:right w:w="108" w:type="dxa"/>
            </w:tcMar>
            <w:hideMark/>
          </w:tcPr>
          <w:p w14:paraId="76C68BEF" w14:textId="77777777" w:rsidR="00B533C2" w:rsidRPr="0034348D" w:rsidRDefault="00B533C2">
            <w:pPr>
              <w:spacing w:line="252" w:lineRule="auto"/>
              <w:rPr>
                <w:lang w:val="en-GB"/>
                <w14:ligatures w14:val="standardContextual"/>
              </w:rPr>
            </w:pPr>
            <w:r w:rsidRPr="0034348D">
              <w:rPr>
                <w:lang w:val="en-GB"/>
                <w14:ligatures w14:val="standardContextual"/>
              </w:rPr>
              <w:t>100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14:paraId="39F34623" w14:textId="77777777" w:rsidR="00B533C2" w:rsidRPr="0034348D" w:rsidRDefault="00B533C2">
            <w:pPr>
              <w:spacing w:line="252" w:lineRule="auto"/>
              <w:rPr>
                <w:lang w:val="en-GB"/>
                <w14:ligatures w14:val="standardContextual"/>
              </w:rPr>
            </w:pPr>
            <w:r w:rsidRPr="0034348D">
              <w:rPr>
                <w:lang w:val="en-GB"/>
                <w14:ligatures w14:val="standardContextual"/>
              </w:rPr>
              <w:t>0</w:t>
            </w:r>
          </w:p>
        </w:tc>
      </w:tr>
      <w:tr w:rsidR="00B533C2" w14:paraId="100D6714" w14:textId="77777777" w:rsidTr="00B533C2">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0D3AC" w14:textId="77777777" w:rsidR="00B533C2" w:rsidRPr="0034348D" w:rsidRDefault="00B533C2">
            <w:pPr>
              <w:spacing w:line="252" w:lineRule="auto"/>
              <w:rPr>
                <w:lang w:val="en-GB"/>
                <w14:ligatures w14:val="standardContextual"/>
              </w:rPr>
            </w:pPr>
            <w:proofErr w:type="spellStart"/>
            <w:r w:rsidRPr="0034348D">
              <w:rPr>
                <w:lang w:val="en-GB"/>
                <w14:ligatures w14:val="standardContextual"/>
              </w:rPr>
              <w:t>Videocasette</w:t>
            </w:r>
            <w:proofErr w:type="spellEnd"/>
            <w:r w:rsidRPr="0034348D">
              <w:rPr>
                <w:lang w:val="en-GB"/>
                <w14:ligatures w14:val="standardContextual"/>
              </w:rPr>
              <w:t xml:space="preserve"> </w:t>
            </w:r>
          </w:p>
        </w:tc>
        <w:tc>
          <w:tcPr>
            <w:tcW w:w="2003" w:type="dxa"/>
            <w:tcBorders>
              <w:top w:val="nil"/>
              <w:left w:val="nil"/>
              <w:bottom w:val="single" w:sz="8" w:space="0" w:color="auto"/>
              <w:right w:val="single" w:sz="8" w:space="0" w:color="auto"/>
            </w:tcBorders>
            <w:tcMar>
              <w:top w:w="0" w:type="dxa"/>
              <w:left w:w="108" w:type="dxa"/>
              <w:bottom w:w="0" w:type="dxa"/>
              <w:right w:w="108" w:type="dxa"/>
            </w:tcMar>
            <w:hideMark/>
          </w:tcPr>
          <w:p w14:paraId="132552DE" w14:textId="77777777" w:rsidR="00B533C2" w:rsidRPr="0034348D" w:rsidRDefault="00B533C2">
            <w:pPr>
              <w:spacing w:line="252" w:lineRule="auto"/>
              <w:rPr>
                <w:lang w:val="en-GB"/>
                <w14:ligatures w14:val="standardContextual"/>
              </w:rPr>
            </w:pPr>
            <w:r w:rsidRPr="0034348D">
              <w:rPr>
                <w:lang w:val="en-GB"/>
                <w14:ligatures w14:val="standardContextual"/>
              </w:rPr>
              <w:t>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14:paraId="19E8B8FC" w14:textId="77777777" w:rsidR="00B533C2" w:rsidRPr="0034348D" w:rsidRDefault="00B533C2">
            <w:pPr>
              <w:spacing w:line="252" w:lineRule="auto"/>
              <w:rPr>
                <w:lang w:val="en-GB"/>
                <w14:ligatures w14:val="standardContextual"/>
              </w:rPr>
            </w:pPr>
            <w:r w:rsidRPr="0034348D">
              <w:rPr>
                <w:lang w:val="en-GB"/>
                <w14:ligatures w14:val="standardContextual"/>
              </w:rPr>
              <w:t>100</w:t>
            </w:r>
          </w:p>
        </w:tc>
      </w:tr>
      <w:tr w:rsidR="00B533C2" w14:paraId="597109C9" w14:textId="77777777" w:rsidTr="00B533C2">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82156" w14:textId="77777777" w:rsidR="00B533C2" w:rsidRPr="0034348D" w:rsidRDefault="00B533C2">
            <w:pPr>
              <w:spacing w:line="252" w:lineRule="auto"/>
              <w:rPr>
                <w:lang w:val="en-GB"/>
                <w14:ligatures w14:val="standardContextual"/>
              </w:rPr>
            </w:pPr>
            <w:r w:rsidRPr="0034348D">
              <w:rPr>
                <w:lang w:val="en-GB"/>
                <w14:ligatures w14:val="standardContextual"/>
              </w:rPr>
              <w:t>CD-R</w:t>
            </w:r>
          </w:p>
        </w:tc>
        <w:tc>
          <w:tcPr>
            <w:tcW w:w="2003" w:type="dxa"/>
            <w:tcBorders>
              <w:top w:val="nil"/>
              <w:left w:val="nil"/>
              <w:bottom w:val="single" w:sz="8" w:space="0" w:color="auto"/>
              <w:right w:val="single" w:sz="8" w:space="0" w:color="auto"/>
            </w:tcBorders>
            <w:tcMar>
              <w:top w:w="0" w:type="dxa"/>
              <w:left w:w="108" w:type="dxa"/>
              <w:bottom w:w="0" w:type="dxa"/>
              <w:right w:w="108" w:type="dxa"/>
            </w:tcMar>
            <w:hideMark/>
          </w:tcPr>
          <w:p w14:paraId="1D63CD7D" w14:textId="77777777" w:rsidR="00B533C2" w:rsidRPr="0034348D" w:rsidRDefault="00B533C2">
            <w:pPr>
              <w:spacing w:line="252" w:lineRule="auto"/>
              <w:rPr>
                <w:lang w:val="en-GB"/>
                <w14:ligatures w14:val="standardContextual"/>
              </w:rPr>
            </w:pPr>
            <w:r w:rsidRPr="0034348D">
              <w:rPr>
                <w:lang w:val="en-GB"/>
                <w14:ligatures w14:val="standardContextual"/>
              </w:rPr>
              <w:t>72,7</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14:paraId="18CF07F5" w14:textId="77777777" w:rsidR="00B533C2" w:rsidRPr="0034348D" w:rsidRDefault="00B533C2">
            <w:pPr>
              <w:spacing w:line="252" w:lineRule="auto"/>
              <w:rPr>
                <w:lang w:val="en-GB"/>
                <w14:ligatures w14:val="standardContextual"/>
              </w:rPr>
            </w:pPr>
            <w:r w:rsidRPr="0034348D">
              <w:rPr>
                <w:lang w:val="en-GB"/>
                <w14:ligatures w14:val="standardContextual"/>
              </w:rPr>
              <w:t>27,3</w:t>
            </w:r>
          </w:p>
        </w:tc>
      </w:tr>
      <w:tr w:rsidR="00B533C2" w14:paraId="1175321E" w14:textId="77777777" w:rsidTr="00B533C2">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13E4E" w14:textId="77777777" w:rsidR="00B533C2" w:rsidRPr="0034348D" w:rsidRDefault="00B533C2">
            <w:pPr>
              <w:spacing w:line="252" w:lineRule="auto"/>
              <w:rPr>
                <w:lang w:val="en-GB"/>
                <w14:ligatures w14:val="standardContextual"/>
              </w:rPr>
            </w:pPr>
            <w:r w:rsidRPr="0034348D">
              <w:rPr>
                <w:lang w:val="en-GB"/>
                <w14:ligatures w14:val="standardContextual"/>
              </w:rPr>
              <w:t>DVD-R</w:t>
            </w:r>
          </w:p>
        </w:tc>
        <w:tc>
          <w:tcPr>
            <w:tcW w:w="2003" w:type="dxa"/>
            <w:tcBorders>
              <w:top w:val="nil"/>
              <w:left w:val="nil"/>
              <w:bottom w:val="single" w:sz="8" w:space="0" w:color="auto"/>
              <w:right w:val="single" w:sz="8" w:space="0" w:color="auto"/>
            </w:tcBorders>
            <w:tcMar>
              <w:top w:w="0" w:type="dxa"/>
              <w:left w:w="108" w:type="dxa"/>
              <w:bottom w:w="0" w:type="dxa"/>
              <w:right w:w="108" w:type="dxa"/>
            </w:tcMar>
            <w:hideMark/>
          </w:tcPr>
          <w:p w14:paraId="3F1031D1" w14:textId="77777777" w:rsidR="00B533C2" w:rsidRPr="0034348D" w:rsidRDefault="00B533C2">
            <w:pPr>
              <w:spacing w:line="252" w:lineRule="auto"/>
              <w:rPr>
                <w:lang w:val="en-GB"/>
                <w14:ligatures w14:val="standardContextual"/>
              </w:rPr>
            </w:pPr>
            <w:r w:rsidRPr="0034348D">
              <w:rPr>
                <w:lang w:val="en-GB"/>
                <w14:ligatures w14:val="standardContextual"/>
              </w:rPr>
              <w:t>25,0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14:paraId="6B5405F3" w14:textId="77777777" w:rsidR="00B533C2" w:rsidRPr="0034348D" w:rsidRDefault="00B533C2">
            <w:pPr>
              <w:spacing w:line="252" w:lineRule="auto"/>
              <w:rPr>
                <w:lang w:val="en-GB"/>
                <w14:ligatures w14:val="standardContextual"/>
              </w:rPr>
            </w:pPr>
            <w:r w:rsidRPr="0034348D">
              <w:rPr>
                <w:lang w:val="en-GB"/>
                <w14:ligatures w14:val="standardContextual"/>
              </w:rPr>
              <w:t>75,0</w:t>
            </w:r>
          </w:p>
        </w:tc>
      </w:tr>
      <w:tr w:rsidR="00B533C2" w14:paraId="0AE7D267" w14:textId="77777777" w:rsidTr="00B533C2">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05FAB" w14:textId="77777777" w:rsidR="00B533C2" w:rsidRPr="0034348D" w:rsidRDefault="00B533C2">
            <w:pPr>
              <w:spacing w:line="252" w:lineRule="auto"/>
              <w:rPr>
                <w:lang w:val="en-GB"/>
                <w14:ligatures w14:val="standardContextual"/>
              </w:rPr>
            </w:pPr>
            <w:r w:rsidRPr="0034348D">
              <w:rPr>
                <w:lang w:val="en-GB"/>
                <w14:ligatures w14:val="standardContextual"/>
              </w:rPr>
              <w:t>Memory cards (CF, MMC, MS, Smart Media, SD, Mini SD, Micro</w:t>
            </w:r>
            <w:r w:rsidRPr="0034348D">
              <w:rPr>
                <w:lang w:val="en-GB"/>
                <w14:ligatures w14:val="standardContextual"/>
              </w:rPr>
              <w:softHyphen/>
              <w:t xml:space="preserve">SD, </w:t>
            </w:r>
            <w:proofErr w:type="spellStart"/>
            <w:r w:rsidRPr="0034348D">
              <w:rPr>
                <w:lang w:val="en-GB"/>
                <w14:ligatures w14:val="standardContextual"/>
              </w:rPr>
              <w:t>xD</w:t>
            </w:r>
            <w:proofErr w:type="spellEnd"/>
            <w:r w:rsidRPr="0034348D">
              <w:rPr>
                <w:lang w:val="en-GB"/>
                <w14:ligatures w14:val="standardContextual"/>
              </w:rPr>
              <w:t>, Microdrive)</w:t>
            </w:r>
          </w:p>
        </w:tc>
        <w:tc>
          <w:tcPr>
            <w:tcW w:w="2003" w:type="dxa"/>
            <w:tcBorders>
              <w:top w:val="nil"/>
              <w:left w:val="nil"/>
              <w:bottom w:val="single" w:sz="8" w:space="0" w:color="auto"/>
              <w:right w:val="single" w:sz="8" w:space="0" w:color="auto"/>
            </w:tcBorders>
            <w:tcMar>
              <w:top w:w="0" w:type="dxa"/>
              <w:left w:w="108" w:type="dxa"/>
              <w:bottom w:w="0" w:type="dxa"/>
              <w:right w:w="108" w:type="dxa"/>
            </w:tcMar>
            <w:hideMark/>
          </w:tcPr>
          <w:p w14:paraId="07331ADC" w14:textId="77777777" w:rsidR="00B533C2" w:rsidRPr="0034348D" w:rsidRDefault="00B533C2">
            <w:pPr>
              <w:spacing w:line="252" w:lineRule="auto"/>
              <w:rPr>
                <w:lang w:val="en-GB"/>
                <w14:ligatures w14:val="standardContextual"/>
              </w:rPr>
            </w:pPr>
            <w:r w:rsidRPr="0034348D">
              <w:rPr>
                <w:lang w:val="en-GB"/>
                <w14:ligatures w14:val="standardContextual"/>
              </w:rPr>
              <w:t>70,0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14:paraId="4E9A2770" w14:textId="77777777" w:rsidR="00B533C2" w:rsidRPr="0034348D" w:rsidRDefault="00B533C2">
            <w:pPr>
              <w:spacing w:line="252" w:lineRule="auto"/>
              <w:rPr>
                <w:lang w:val="en-GB"/>
                <w14:ligatures w14:val="standardContextual"/>
              </w:rPr>
            </w:pPr>
            <w:r w:rsidRPr="0034348D">
              <w:rPr>
                <w:lang w:val="en-GB"/>
                <w14:ligatures w14:val="standardContextual"/>
              </w:rPr>
              <w:t>30,0</w:t>
            </w:r>
          </w:p>
        </w:tc>
      </w:tr>
      <w:tr w:rsidR="00B533C2" w14:paraId="1680D9A5" w14:textId="77777777" w:rsidTr="00B533C2">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F5D4E" w14:textId="77777777" w:rsidR="00B533C2" w:rsidRPr="0034348D" w:rsidRDefault="00B533C2">
            <w:pPr>
              <w:spacing w:line="252" w:lineRule="auto"/>
              <w:rPr>
                <w:lang w:val="en-GB"/>
                <w14:ligatures w14:val="standardContextual"/>
              </w:rPr>
            </w:pPr>
            <w:proofErr w:type="spellStart"/>
            <w:r w:rsidRPr="0034348D">
              <w:rPr>
                <w:lang w:val="en-GB"/>
                <w14:ligatures w14:val="standardContextual"/>
              </w:rPr>
              <w:t>Pendrive</w:t>
            </w:r>
            <w:proofErr w:type="spellEnd"/>
            <w:r w:rsidRPr="0034348D">
              <w:rPr>
                <w:lang w:val="en-GB"/>
                <w14:ligatures w14:val="standardContextual"/>
              </w:rPr>
              <w:t>, USB Flash Drive, external SSD</w:t>
            </w:r>
          </w:p>
        </w:tc>
        <w:tc>
          <w:tcPr>
            <w:tcW w:w="2003" w:type="dxa"/>
            <w:tcBorders>
              <w:top w:val="nil"/>
              <w:left w:val="nil"/>
              <w:bottom w:val="single" w:sz="8" w:space="0" w:color="auto"/>
              <w:right w:val="single" w:sz="8" w:space="0" w:color="auto"/>
            </w:tcBorders>
            <w:tcMar>
              <w:top w:w="0" w:type="dxa"/>
              <w:left w:w="108" w:type="dxa"/>
              <w:bottom w:w="0" w:type="dxa"/>
              <w:right w:w="108" w:type="dxa"/>
            </w:tcMar>
            <w:hideMark/>
          </w:tcPr>
          <w:p w14:paraId="032B79C4" w14:textId="77777777" w:rsidR="00B533C2" w:rsidRPr="0034348D" w:rsidRDefault="00B533C2">
            <w:pPr>
              <w:spacing w:line="252" w:lineRule="auto"/>
              <w:rPr>
                <w:lang w:val="en-GB"/>
                <w14:ligatures w14:val="standardContextual"/>
              </w:rPr>
            </w:pPr>
            <w:r w:rsidRPr="0034348D">
              <w:rPr>
                <w:lang w:val="en-GB"/>
                <w14:ligatures w14:val="standardContextual"/>
              </w:rPr>
              <w:t>50,0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14:paraId="35EB1491" w14:textId="77777777" w:rsidR="00B533C2" w:rsidRPr="0034348D" w:rsidRDefault="00B533C2">
            <w:pPr>
              <w:spacing w:line="252" w:lineRule="auto"/>
              <w:rPr>
                <w:lang w:val="en-GB"/>
                <w14:ligatures w14:val="standardContextual"/>
              </w:rPr>
            </w:pPr>
            <w:r w:rsidRPr="0034348D">
              <w:rPr>
                <w:lang w:val="en-GB"/>
                <w14:ligatures w14:val="standardContextual"/>
              </w:rPr>
              <w:t>50,0</w:t>
            </w:r>
          </w:p>
        </w:tc>
      </w:tr>
      <w:tr w:rsidR="00B533C2" w14:paraId="6112FB3F" w14:textId="77777777" w:rsidTr="00B533C2">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A46B0" w14:textId="77777777" w:rsidR="00B533C2" w:rsidRPr="0034348D" w:rsidRDefault="00B533C2">
            <w:pPr>
              <w:spacing w:line="252" w:lineRule="auto"/>
              <w:rPr>
                <w:lang w:val="en-GB"/>
                <w14:ligatures w14:val="standardContextual"/>
              </w:rPr>
            </w:pPr>
            <w:bookmarkStart w:id="3" w:name="OLE_LINK6"/>
            <w:r w:rsidRPr="0034348D">
              <w:rPr>
                <w:lang w:val="en-GB"/>
                <w14:ligatures w14:val="standardContextual"/>
              </w:rPr>
              <w:t xml:space="preserve">Music players with integrated storage capacity </w:t>
            </w:r>
            <w:bookmarkEnd w:id="3"/>
            <w:r w:rsidRPr="0034348D">
              <w:rPr>
                <w:lang w:val="en-GB"/>
                <w14:ligatures w14:val="standardContextual"/>
              </w:rPr>
              <w:t>(except mobile phones)</w:t>
            </w:r>
          </w:p>
        </w:tc>
        <w:tc>
          <w:tcPr>
            <w:tcW w:w="2003" w:type="dxa"/>
            <w:tcBorders>
              <w:top w:val="nil"/>
              <w:left w:val="nil"/>
              <w:bottom w:val="single" w:sz="8" w:space="0" w:color="auto"/>
              <w:right w:val="single" w:sz="8" w:space="0" w:color="auto"/>
            </w:tcBorders>
            <w:tcMar>
              <w:top w:w="0" w:type="dxa"/>
              <w:left w:w="108" w:type="dxa"/>
              <w:bottom w:w="0" w:type="dxa"/>
              <w:right w:w="108" w:type="dxa"/>
            </w:tcMar>
            <w:hideMark/>
          </w:tcPr>
          <w:p w14:paraId="38E6AD2C" w14:textId="77777777" w:rsidR="00B533C2" w:rsidRPr="0034348D" w:rsidRDefault="00B533C2">
            <w:pPr>
              <w:spacing w:line="252" w:lineRule="auto"/>
              <w:rPr>
                <w:lang w:val="en-GB"/>
                <w14:ligatures w14:val="standardContextual"/>
              </w:rPr>
            </w:pPr>
            <w:r w:rsidRPr="0034348D">
              <w:rPr>
                <w:lang w:val="en-GB"/>
                <w14:ligatures w14:val="standardContextual"/>
              </w:rPr>
              <w:t>100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14:paraId="048E45A8" w14:textId="77777777" w:rsidR="00B533C2" w:rsidRPr="0034348D" w:rsidRDefault="00B533C2">
            <w:pPr>
              <w:spacing w:line="252" w:lineRule="auto"/>
              <w:rPr>
                <w:lang w:val="en-GB"/>
                <w14:ligatures w14:val="standardContextual"/>
              </w:rPr>
            </w:pPr>
            <w:r w:rsidRPr="0034348D">
              <w:rPr>
                <w:lang w:val="en-GB"/>
                <w14:ligatures w14:val="standardContextual"/>
              </w:rPr>
              <w:t>0</w:t>
            </w:r>
          </w:p>
        </w:tc>
      </w:tr>
      <w:tr w:rsidR="00B533C2" w14:paraId="7EE425CC" w14:textId="77777777" w:rsidTr="00B533C2">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D8916" w14:textId="77777777" w:rsidR="00B533C2" w:rsidRPr="0034348D" w:rsidRDefault="00B533C2">
            <w:pPr>
              <w:spacing w:line="252" w:lineRule="auto"/>
              <w:rPr>
                <w:lang w:val="en-GB"/>
                <w14:ligatures w14:val="standardContextual"/>
              </w:rPr>
            </w:pPr>
            <w:r w:rsidRPr="0034348D">
              <w:rPr>
                <w:lang w:val="en-GB"/>
                <w14:ligatures w14:val="standardContextual"/>
              </w:rPr>
              <w:t>Mobile phones with integrated storage capacity</w:t>
            </w:r>
          </w:p>
        </w:tc>
        <w:tc>
          <w:tcPr>
            <w:tcW w:w="2003" w:type="dxa"/>
            <w:tcBorders>
              <w:top w:val="nil"/>
              <w:left w:val="nil"/>
              <w:bottom w:val="single" w:sz="8" w:space="0" w:color="auto"/>
              <w:right w:val="single" w:sz="8" w:space="0" w:color="auto"/>
            </w:tcBorders>
            <w:tcMar>
              <w:top w:w="0" w:type="dxa"/>
              <w:left w:w="108" w:type="dxa"/>
              <w:bottom w:w="0" w:type="dxa"/>
              <w:right w:w="108" w:type="dxa"/>
            </w:tcMar>
            <w:hideMark/>
          </w:tcPr>
          <w:p w14:paraId="43C0EBBB" w14:textId="77777777" w:rsidR="00B533C2" w:rsidRPr="0034348D" w:rsidRDefault="00B533C2">
            <w:pPr>
              <w:spacing w:line="252" w:lineRule="auto"/>
              <w:rPr>
                <w:lang w:val="en-GB"/>
                <w14:ligatures w14:val="standardContextual"/>
              </w:rPr>
            </w:pPr>
            <w:r w:rsidRPr="0034348D">
              <w:rPr>
                <w:lang w:val="en-GB"/>
                <w14:ligatures w14:val="standardContextual"/>
              </w:rPr>
              <w:t>86,6</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14:paraId="5B203D7F" w14:textId="77777777" w:rsidR="00B533C2" w:rsidRPr="0034348D" w:rsidRDefault="00B533C2">
            <w:pPr>
              <w:spacing w:line="252" w:lineRule="auto"/>
              <w:rPr>
                <w:lang w:val="en-GB"/>
                <w14:ligatures w14:val="standardContextual"/>
              </w:rPr>
            </w:pPr>
            <w:r w:rsidRPr="0034348D">
              <w:rPr>
                <w:lang w:val="en-GB"/>
                <w14:ligatures w14:val="standardContextual"/>
              </w:rPr>
              <w:t>13,4</w:t>
            </w:r>
          </w:p>
        </w:tc>
      </w:tr>
      <w:tr w:rsidR="00B533C2" w14:paraId="0A1908E7" w14:textId="77777777" w:rsidTr="00B533C2">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AFC32" w14:textId="77777777" w:rsidR="00B533C2" w:rsidRPr="0034348D" w:rsidRDefault="00B533C2">
            <w:pPr>
              <w:spacing w:line="252" w:lineRule="auto"/>
              <w:rPr>
                <w:lang w:val="en-GB"/>
                <w14:ligatures w14:val="standardContextual"/>
              </w:rPr>
            </w:pPr>
            <w:r w:rsidRPr="0034348D">
              <w:rPr>
                <w:lang w:val="en-GB"/>
                <w14:ligatures w14:val="standardContextual"/>
              </w:rPr>
              <w:t>Consumer electronics products with integrated storage capacity (DVD-writer, -recorder, media players, TV sets, set-top-boxes, smart TV boxes etc)</w:t>
            </w:r>
          </w:p>
        </w:tc>
        <w:tc>
          <w:tcPr>
            <w:tcW w:w="2003" w:type="dxa"/>
            <w:tcBorders>
              <w:top w:val="nil"/>
              <w:left w:val="nil"/>
              <w:bottom w:val="single" w:sz="8" w:space="0" w:color="auto"/>
              <w:right w:val="single" w:sz="8" w:space="0" w:color="auto"/>
            </w:tcBorders>
            <w:tcMar>
              <w:top w:w="0" w:type="dxa"/>
              <w:left w:w="108" w:type="dxa"/>
              <w:bottom w:w="0" w:type="dxa"/>
              <w:right w:w="108" w:type="dxa"/>
            </w:tcMar>
            <w:hideMark/>
          </w:tcPr>
          <w:p w14:paraId="1BF9D206" w14:textId="77777777" w:rsidR="00B533C2" w:rsidRPr="0034348D" w:rsidRDefault="00B533C2">
            <w:pPr>
              <w:spacing w:line="252" w:lineRule="auto"/>
              <w:rPr>
                <w:lang w:val="en-GB"/>
                <w14:ligatures w14:val="standardContextual"/>
              </w:rPr>
            </w:pPr>
            <w:r w:rsidRPr="0034348D">
              <w:rPr>
                <w:lang w:val="en-GB"/>
                <w14:ligatures w14:val="standardContextual"/>
              </w:rPr>
              <w:t>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14:paraId="59FAEB12" w14:textId="77777777" w:rsidR="00B533C2" w:rsidRPr="0034348D" w:rsidRDefault="00B533C2">
            <w:pPr>
              <w:spacing w:line="252" w:lineRule="auto"/>
              <w:rPr>
                <w:lang w:val="en-GB"/>
                <w14:ligatures w14:val="standardContextual"/>
              </w:rPr>
            </w:pPr>
            <w:r w:rsidRPr="0034348D">
              <w:rPr>
                <w:lang w:val="en-GB"/>
                <w14:ligatures w14:val="standardContextual"/>
              </w:rPr>
              <w:t>100</w:t>
            </w:r>
          </w:p>
        </w:tc>
      </w:tr>
      <w:tr w:rsidR="00B533C2" w14:paraId="4D8ED725" w14:textId="77777777" w:rsidTr="00B533C2">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746F4" w14:textId="77777777" w:rsidR="00B533C2" w:rsidRPr="0034348D" w:rsidRDefault="00B533C2">
            <w:pPr>
              <w:spacing w:line="252" w:lineRule="auto"/>
              <w:rPr>
                <w:lang w:val="en-GB"/>
                <w14:ligatures w14:val="standardContextual"/>
              </w:rPr>
            </w:pPr>
            <w:r w:rsidRPr="0034348D">
              <w:rPr>
                <w:lang w:val="en-GB"/>
                <w14:ligatures w14:val="standardContextual"/>
              </w:rPr>
              <w:t xml:space="preserve">External HDDs </w:t>
            </w:r>
          </w:p>
        </w:tc>
        <w:tc>
          <w:tcPr>
            <w:tcW w:w="2003" w:type="dxa"/>
            <w:tcBorders>
              <w:top w:val="nil"/>
              <w:left w:val="nil"/>
              <w:bottom w:val="single" w:sz="8" w:space="0" w:color="auto"/>
              <w:right w:val="single" w:sz="8" w:space="0" w:color="auto"/>
            </w:tcBorders>
            <w:tcMar>
              <w:top w:w="0" w:type="dxa"/>
              <w:left w:w="108" w:type="dxa"/>
              <w:bottom w:w="0" w:type="dxa"/>
              <w:right w:w="108" w:type="dxa"/>
            </w:tcMar>
            <w:hideMark/>
          </w:tcPr>
          <w:p w14:paraId="63E9F1F4" w14:textId="77777777" w:rsidR="00B533C2" w:rsidRPr="0034348D" w:rsidRDefault="00B533C2">
            <w:pPr>
              <w:spacing w:line="252" w:lineRule="auto"/>
              <w:rPr>
                <w:lang w:val="en-GB"/>
                <w14:ligatures w14:val="standardContextual"/>
              </w:rPr>
            </w:pPr>
            <w:r w:rsidRPr="0034348D">
              <w:rPr>
                <w:lang w:val="en-GB"/>
                <w14:ligatures w14:val="standardContextual"/>
              </w:rPr>
              <w:t> 36,3</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14:paraId="20F40C76" w14:textId="77777777" w:rsidR="00B533C2" w:rsidRPr="0034348D" w:rsidRDefault="00B533C2">
            <w:pPr>
              <w:spacing w:line="252" w:lineRule="auto"/>
              <w:rPr>
                <w:lang w:val="en-GB"/>
                <w14:ligatures w14:val="standardContextual"/>
              </w:rPr>
            </w:pPr>
            <w:r w:rsidRPr="0034348D">
              <w:rPr>
                <w:lang w:val="en-GB"/>
                <w14:ligatures w14:val="standardContextual"/>
              </w:rPr>
              <w:t>63,7</w:t>
            </w:r>
          </w:p>
        </w:tc>
      </w:tr>
      <w:tr w:rsidR="00B533C2" w14:paraId="296993C1" w14:textId="77777777" w:rsidTr="00B533C2">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07CD5" w14:textId="77777777" w:rsidR="00B533C2" w:rsidRPr="0034348D" w:rsidRDefault="00B533C2">
            <w:pPr>
              <w:spacing w:line="252" w:lineRule="auto"/>
              <w:rPr>
                <w:lang w:val="en-GB"/>
                <w14:ligatures w14:val="standardContextual"/>
              </w:rPr>
            </w:pPr>
            <w:bookmarkStart w:id="4" w:name="OLE_LINK11"/>
            <w:bookmarkStart w:id="5" w:name="OLE_LINK4"/>
            <w:r w:rsidRPr="0034348D">
              <w:rPr>
                <w:lang w:val="en-GB"/>
                <w14:ligatures w14:val="standardContextual"/>
              </w:rPr>
              <w:t xml:space="preserve">Tablet PCs, media tablets, hybrid tablets with integrated </w:t>
            </w:r>
            <w:proofErr w:type="spellStart"/>
            <w:r w:rsidRPr="0034348D">
              <w:rPr>
                <w:lang w:val="en-GB"/>
                <w14:ligatures w14:val="standardContextual"/>
              </w:rPr>
              <w:t>storeage</w:t>
            </w:r>
            <w:proofErr w:type="spellEnd"/>
            <w:r w:rsidRPr="0034348D">
              <w:rPr>
                <w:lang w:val="en-GB"/>
                <w14:ligatures w14:val="standardContextual"/>
              </w:rPr>
              <w:t xml:space="preserve"> capacity</w:t>
            </w:r>
            <w:bookmarkEnd w:id="4"/>
            <w:bookmarkEnd w:id="5"/>
          </w:p>
        </w:tc>
        <w:tc>
          <w:tcPr>
            <w:tcW w:w="2003" w:type="dxa"/>
            <w:tcBorders>
              <w:top w:val="nil"/>
              <w:left w:val="nil"/>
              <w:bottom w:val="single" w:sz="8" w:space="0" w:color="auto"/>
              <w:right w:val="single" w:sz="8" w:space="0" w:color="auto"/>
            </w:tcBorders>
            <w:tcMar>
              <w:top w:w="0" w:type="dxa"/>
              <w:left w:w="108" w:type="dxa"/>
              <w:bottom w:w="0" w:type="dxa"/>
              <w:right w:w="108" w:type="dxa"/>
            </w:tcMar>
            <w:hideMark/>
          </w:tcPr>
          <w:p w14:paraId="6E21E1C6" w14:textId="77777777" w:rsidR="00B533C2" w:rsidRPr="0034348D" w:rsidRDefault="00B533C2">
            <w:pPr>
              <w:spacing w:line="252" w:lineRule="auto"/>
              <w:rPr>
                <w:lang w:val="en-GB"/>
                <w14:ligatures w14:val="standardContextual"/>
              </w:rPr>
            </w:pPr>
            <w:r w:rsidRPr="0034348D">
              <w:rPr>
                <w:lang w:val="en-GB"/>
                <w14:ligatures w14:val="standardContextual"/>
              </w:rPr>
              <w:t>50,0</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14:paraId="24DF6670" w14:textId="77777777" w:rsidR="00B533C2" w:rsidRPr="0034348D" w:rsidRDefault="00B533C2">
            <w:pPr>
              <w:spacing w:line="252" w:lineRule="auto"/>
              <w:rPr>
                <w:lang w:val="en-GB"/>
                <w14:ligatures w14:val="standardContextual"/>
              </w:rPr>
            </w:pPr>
            <w:r w:rsidRPr="0034348D">
              <w:rPr>
                <w:lang w:val="en-GB"/>
                <w14:ligatures w14:val="standardContextual"/>
              </w:rPr>
              <w:t>50,0</w:t>
            </w:r>
          </w:p>
        </w:tc>
      </w:tr>
      <w:tr w:rsidR="00B533C2" w14:paraId="7B3529E9" w14:textId="77777777" w:rsidTr="00B533C2">
        <w:tc>
          <w:tcPr>
            <w:tcW w:w="5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3DFBDB" w14:textId="77777777" w:rsidR="00B533C2" w:rsidRPr="0034348D" w:rsidRDefault="00B533C2">
            <w:pPr>
              <w:spacing w:line="252" w:lineRule="auto"/>
              <w:rPr>
                <w:rFonts w:ascii="Calibri" w:hAnsi="Calibri" w:cs="Calibri"/>
                <w:lang w:val="en-GB"/>
                <w14:ligatures w14:val="standardContextual"/>
              </w:rPr>
            </w:pPr>
            <w:r w:rsidRPr="0034348D">
              <w:rPr>
                <w:lang w:val="en-GB"/>
                <w14:ligatures w14:val="standardContextual"/>
              </w:rPr>
              <w:t>Desktop PCs</w:t>
            </w:r>
          </w:p>
        </w:tc>
        <w:tc>
          <w:tcPr>
            <w:tcW w:w="20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F3D861" w14:textId="77777777" w:rsidR="00B533C2" w:rsidRPr="0034348D" w:rsidRDefault="00B533C2">
            <w:pPr>
              <w:spacing w:line="252" w:lineRule="auto"/>
              <w:rPr>
                <w:lang w:val="en-GB"/>
                <w14:ligatures w14:val="standardContextual"/>
              </w:rPr>
            </w:pPr>
            <w:r w:rsidRPr="0034348D">
              <w:rPr>
                <w:lang w:val="en-GB"/>
                <w14:ligatures w14:val="standardContextual"/>
              </w:rPr>
              <w:t>44,4</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0B039" w14:textId="77777777" w:rsidR="00B533C2" w:rsidRPr="0034348D" w:rsidRDefault="00B533C2">
            <w:pPr>
              <w:spacing w:line="252" w:lineRule="auto"/>
              <w:rPr>
                <w:lang w:val="en-GB"/>
                <w14:ligatures w14:val="standardContextual"/>
              </w:rPr>
            </w:pPr>
            <w:r w:rsidRPr="0034348D">
              <w:rPr>
                <w:lang w:val="en-GB"/>
                <w14:ligatures w14:val="standardContextual"/>
              </w:rPr>
              <w:t>55,6</w:t>
            </w:r>
          </w:p>
        </w:tc>
      </w:tr>
      <w:tr w:rsidR="00B533C2" w14:paraId="2C861517" w14:textId="77777777" w:rsidTr="00B533C2">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5BA1E" w14:textId="77777777" w:rsidR="00B533C2" w:rsidRPr="0034348D" w:rsidRDefault="00B533C2">
            <w:pPr>
              <w:spacing w:line="252" w:lineRule="auto"/>
              <w:rPr>
                <w:lang w:val="en-GB"/>
                <w14:ligatures w14:val="standardContextual"/>
              </w:rPr>
            </w:pPr>
            <w:r w:rsidRPr="0034348D">
              <w:rPr>
                <w:lang w:val="en-GB"/>
                <w14:ligatures w14:val="standardContextual"/>
              </w:rPr>
              <w:t>Laptops, notebooks</w:t>
            </w:r>
          </w:p>
        </w:tc>
        <w:tc>
          <w:tcPr>
            <w:tcW w:w="2003" w:type="dxa"/>
            <w:tcBorders>
              <w:top w:val="nil"/>
              <w:left w:val="nil"/>
              <w:bottom w:val="single" w:sz="8" w:space="0" w:color="auto"/>
              <w:right w:val="single" w:sz="8" w:space="0" w:color="auto"/>
            </w:tcBorders>
            <w:tcMar>
              <w:top w:w="0" w:type="dxa"/>
              <w:left w:w="108" w:type="dxa"/>
              <w:bottom w:w="0" w:type="dxa"/>
              <w:right w:w="108" w:type="dxa"/>
            </w:tcMar>
            <w:hideMark/>
          </w:tcPr>
          <w:p w14:paraId="2811FAA0" w14:textId="77777777" w:rsidR="00B533C2" w:rsidRPr="0034348D" w:rsidRDefault="00B533C2">
            <w:pPr>
              <w:spacing w:line="252" w:lineRule="auto"/>
              <w:rPr>
                <w:lang w:val="en-GB"/>
                <w14:ligatures w14:val="standardContextual"/>
              </w:rPr>
            </w:pPr>
            <w:r w:rsidRPr="0034348D">
              <w:rPr>
                <w:lang w:val="en-GB"/>
                <w14:ligatures w14:val="standardContextual"/>
              </w:rPr>
              <w:t>35,2</w:t>
            </w:r>
          </w:p>
        </w:tc>
        <w:tc>
          <w:tcPr>
            <w:tcW w:w="2084" w:type="dxa"/>
            <w:tcBorders>
              <w:top w:val="nil"/>
              <w:left w:val="nil"/>
              <w:bottom w:val="single" w:sz="8" w:space="0" w:color="auto"/>
              <w:right w:val="single" w:sz="8" w:space="0" w:color="auto"/>
            </w:tcBorders>
            <w:tcMar>
              <w:top w:w="0" w:type="dxa"/>
              <w:left w:w="108" w:type="dxa"/>
              <w:bottom w:w="0" w:type="dxa"/>
              <w:right w:w="108" w:type="dxa"/>
            </w:tcMar>
            <w:hideMark/>
          </w:tcPr>
          <w:p w14:paraId="54C88AEA" w14:textId="77777777" w:rsidR="00B533C2" w:rsidRPr="0034348D" w:rsidRDefault="00B533C2">
            <w:pPr>
              <w:spacing w:line="252" w:lineRule="auto"/>
              <w:rPr>
                <w:lang w:val="en-GB"/>
                <w14:ligatures w14:val="standardContextual"/>
              </w:rPr>
            </w:pPr>
            <w:r w:rsidRPr="0034348D">
              <w:rPr>
                <w:lang w:val="en-GB"/>
                <w14:ligatures w14:val="standardContextual"/>
              </w:rPr>
              <w:t>64,8</w:t>
            </w:r>
          </w:p>
        </w:tc>
      </w:tr>
    </w:tbl>
    <w:p w14:paraId="356A18ED" w14:textId="77777777" w:rsidR="00B533C2" w:rsidRPr="007A2E58" w:rsidRDefault="00B533C2" w:rsidP="00B533C2">
      <w:pPr>
        <w:pStyle w:val="ListParagraph"/>
      </w:pPr>
    </w:p>
    <w:p w14:paraId="386780A3" w14:textId="07546E96" w:rsidR="004D671A" w:rsidRPr="00F44A80" w:rsidRDefault="004D671A" w:rsidP="004D671A">
      <w:pPr>
        <w:numPr>
          <w:ilvl w:val="0"/>
          <w:numId w:val="2"/>
        </w:numPr>
      </w:pPr>
      <w:r w:rsidRPr="00F44A80">
        <w:t xml:space="preserve">Uuringuga </w:t>
      </w:r>
      <w:r w:rsidR="00C5434D">
        <w:t xml:space="preserve">tuleks </w:t>
      </w:r>
      <w:r w:rsidRPr="00F44A80">
        <w:t>välja selgitada:</w:t>
      </w:r>
    </w:p>
    <w:p w14:paraId="75BEC999" w14:textId="3BE8FB99" w:rsidR="004D671A" w:rsidRPr="00F44A80" w:rsidRDefault="004D671A" w:rsidP="004D671A">
      <w:pPr>
        <w:numPr>
          <w:ilvl w:val="1"/>
          <w:numId w:val="2"/>
        </w:numPr>
      </w:pPr>
      <w:r w:rsidRPr="00F44A80">
        <w:t>Tasusaajate ring</w:t>
      </w:r>
      <w:r w:rsidR="00696123">
        <w:t xml:space="preserve"> – uurides </w:t>
      </w:r>
      <w:r w:rsidRPr="00F44A80">
        <w:t>milliseid teoseid kopeeritakse;</w:t>
      </w:r>
    </w:p>
    <w:p w14:paraId="3348F15D" w14:textId="7A1EB512" w:rsidR="004D671A" w:rsidRPr="00F44A80" w:rsidRDefault="004D671A" w:rsidP="004D671A">
      <w:pPr>
        <w:numPr>
          <w:ilvl w:val="1"/>
          <w:numId w:val="2"/>
        </w:numPr>
      </w:pPr>
      <w:r w:rsidRPr="00F44A80">
        <w:t>Audio</w:t>
      </w:r>
      <w:r>
        <w:t>valdkonna</w:t>
      </w:r>
      <w:r w:rsidRPr="00F44A80">
        <w:t xml:space="preserve"> ja audiovisuaal</w:t>
      </w:r>
      <w:r>
        <w:t>valdkonna</w:t>
      </w:r>
      <w:r w:rsidRPr="00F44A80">
        <w:t xml:space="preserve"> jaotus</w:t>
      </w:r>
      <w:r w:rsidR="00696123">
        <w:t xml:space="preserve"> – uurides </w:t>
      </w:r>
      <w:r w:rsidRPr="00F44A80">
        <w:t>millistele seadmete</w:t>
      </w:r>
      <w:r>
        <w:t>le</w:t>
      </w:r>
      <w:r w:rsidRPr="00F44A80">
        <w:t xml:space="preserve"> mida kopeeritakse;</w:t>
      </w:r>
    </w:p>
    <w:p w14:paraId="10603D27" w14:textId="2C1D864F" w:rsidR="004D671A" w:rsidRPr="00F44A80" w:rsidRDefault="004D671A" w:rsidP="004D671A">
      <w:pPr>
        <w:numPr>
          <w:ilvl w:val="1"/>
          <w:numId w:val="2"/>
        </w:numPr>
      </w:pPr>
      <w:r w:rsidRPr="00F44A80">
        <w:t>Eesti ja välismaise audiovisuaalse toodangu osakaalud</w:t>
      </w:r>
      <w:r w:rsidR="00696123">
        <w:t xml:space="preserve"> – uurides </w:t>
      </w:r>
      <w:r w:rsidR="00C5434D">
        <w:t>milliseid telesaateid ja filme kopeeritakse.</w:t>
      </w:r>
    </w:p>
    <w:p w14:paraId="30A29F0A" w14:textId="3433D9C1" w:rsidR="00CE7AFF" w:rsidRPr="00F44A80" w:rsidRDefault="00CE7AFF" w:rsidP="00CE7AFF">
      <w:pPr>
        <w:numPr>
          <w:ilvl w:val="0"/>
          <w:numId w:val="2"/>
        </w:numPr>
      </w:pPr>
      <w:r w:rsidRPr="00F44A80">
        <w:t>Seaduse/käskkirja</w:t>
      </w:r>
      <w:r>
        <w:t>/kokkuleppega</w:t>
      </w:r>
      <w:r w:rsidRPr="00F44A80">
        <w:t xml:space="preserve"> </w:t>
      </w:r>
      <w:r>
        <w:t xml:space="preserve">tuleks </w:t>
      </w:r>
      <w:r w:rsidRPr="00F44A80">
        <w:t>määratleda:</w:t>
      </w:r>
    </w:p>
    <w:p w14:paraId="69BC1B6C" w14:textId="55AC5334" w:rsidR="00CE7AFF" w:rsidRPr="00F44A80" w:rsidRDefault="00CE7AFF" w:rsidP="00CE7AFF">
      <w:pPr>
        <w:numPr>
          <w:ilvl w:val="1"/>
          <w:numId w:val="2"/>
        </w:numPr>
      </w:pPr>
      <w:r w:rsidRPr="00F44A80">
        <w:t>millise võtme järgi toimub uuringuga välja selgitatud audio ja audiovisuaal</w:t>
      </w:r>
      <w:r>
        <w:t>valdkonna</w:t>
      </w:r>
      <w:r w:rsidRPr="00F44A80">
        <w:t xml:space="preserve"> sisene jaotus. </w:t>
      </w:r>
      <w:r>
        <w:t>Kusjuures arvesse tuleks võtta</w:t>
      </w:r>
      <w:r w:rsidRPr="00F44A80">
        <w:t>:</w:t>
      </w:r>
    </w:p>
    <w:p w14:paraId="7074E170" w14:textId="7626FB84" w:rsidR="00CE7AFF" w:rsidRPr="00F44A80" w:rsidRDefault="00CE7AFF" w:rsidP="00CE7AFF">
      <w:pPr>
        <w:numPr>
          <w:ilvl w:val="2"/>
          <w:numId w:val="2"/>
        </w:numPr>
      </w:pPr>
      <w:r w:rsidRPr="00F44A80">
        <w:t xml:space="preserve">kui suurt õiguste omajate gruppi KEO esindab ja </w:t>
      </w:r>
    </w:p>
    <w:p w14:paraId="4EF97268" w14:textId="77777777" w:rsidR="00CE7AFF" w:rsidRPr="00F44A80" w:rsidRDefault="00CE7AFF" w:rsidP="00CE7AFF">
      <w:pPr>
        <w:numPr>
          <w:ilvl w:val="2"/>
          <w:numId w:val="2"/>
        </w:numPr>
      </w:pPr>
      <w:r w:rsidRPr="00F44A80">
        <w:lastRenderedPageBreak/>
        <w:t>millise võtme järgi jaotada ringi tasandusfond, kui see peaks tekkima.</w:t>
      </w:r>
    </w:p>
    <w:p w14:paraId="28F0275B" w14:textId="64785D39" w:rsidR="00083FE6" w:rsidRDefault="00CE7AFF" w:rsidP="00083FE6">
      <w:pPr>
        <w:ind w:left="720"/>
      </w:pPr>
      <w:r>
        <w:t>Iga KEO</w:t>
      </w:r>
      <w:r w:rsidR="00A22A57">
        <w:t xml:space="preserve"> tasuosa peab </w:t>
      </w:r>
      <w:r w:rsidRPr="00CE7AFF">
        <w:t xml:space="preserve">sõltuma </w:t>
      </w:r>
      <w:r w:rsidR="00A22A57">
        <w:t xml:space="preserve">tema </w:t>
      </w:r>
      <w:r w:rsidRPr="00CE7AFF">
        <w:t xml:space="preserve">esindatuse määrast. </w:t>
      </w:r>
      <w:proofErr w:type="spellStart"/>
      <w:r w:rsidR="00A22A57">
        <w:t>KEO-de</w:t>
      </w:r>
      <w:proofErr w:type="spellEnd"/>
      <w:r w:rsidR="00A22A57">
        <w:t xml:space="preserve"> tasuosad ei saa olla võrdsed, kuna näiteks </w:t>
      </w:r>
      <w:r w:rsidR="00F538FF">
        <w:t>ENL</w:t>
      </w:r>
      <w:r w:rsidR="00A22A57">
        <w:t xml:space="preserve"> ja </w:t>
      </w:r>
      <w:r w:rsidR="00F538FF">
        <w:t xml:space="preserve">FETÜ </w:t>
      </w:r>
      <w:r w:rsidR="00A22A57">
        <w:t xml:space="preserve">esindavad </w:t>
      </w:r>
      <w:r w:rsidRPr="00CE7AFF">
        <w:t xml:space="preserve">vaid siseriiklike liikmeid ja seega nende </w:t>
      </w:r>
      <w:r w:rsidR="00A22A57">
        <w:t xml:space="preserve">poolt esindatavate õiguste omajate ring on kordades väiksem võrreldes nende </w:t>
      </w:r>
      <w:proofErr w:type="spellStart"/>
      <w:r w:rsidR="00A22A57">
        <w:t>KEO-dega</w:t>
      </w:r>
      <w:proofErr w:type="spellEnd"/>
      <w:r w:rsidR="00A22A57">
        <w:t xml:space="preserve">, millised esindavad </w:t>
      </w:r>
      <w:r w:rsidRPr="00CE7AFF">
        <w:t xml:space="preserve">ülemaailmset repertuaari. </w:t>
      </w:r>
      <w:r w:rsidR="008B3219">
        <w:t xml:space="preserve">Kui </w:t>
      </w:r>
      <w:r w:rsidR="005057EA">
        <w:t xml:space="preserve">muusika </w:t>
      </w:r>
      <w:r w:rsidR="008B3219">
        <w:t xml:space="preserve">valdkonnas tegutsevatel </w:t>
      </w:r>
      <w:proofErr w:type="spellStart"/>
      <w:r w:rsidR="008B3219">
        <w:t>KEO-del</w:t>
      </w:r>
      <w:proofErr w:type="spellEnd"/>
      <w:r w:rsidR="008B3219">
        <w:t xml:space="preserve"> (EAÜ, E</w:t>
      </w:r>
      <w:r w:rsidR="00F538FF">
        <w:t>EL</w:t>
      </w:r>
      <w:r w:rsidR="008B3219">
        <w:t>, E</w:t>
      </w:r>
      <w:r w:rsidR="00F538FF">
        <w:t>FÜ</w:t>
      </w:r>
      <w:r w:rsidR="008B3219">
        <w:t xml:space="preserve">) on kõigil </w:t>
      </w:r>
      <w:r w:rsidR="008B3219" w:rsidRPr="00F44A80">
        <w:t>piisav liikmeskond ja tagatud esindatus nii Eesti sees kui ka väljas</w:t>
      </w:r>
      <w:r w:rsidR="000F7921">
        <w:t>t</w:t>
      </w:r>
      <w:r w:rsidR="008B3219" w:rsidRPr="00F44A80">
        <w:t>poolt Eestit</w:t>
      </w:r>
      <w:r w:rsidR="008B3219">
        <w:t xml:space="preserve">, siis audiovisuaalvaldkonna sisene </w:t>
      </w:r>
      <w:r w:rsidR="008B3219" w:rsidRPr="00F44A80">
        <w:t xml:space="preserve">jaotamine on </w:t>
      </w:r>
      <w:r w:rsidR="008B3219">
        <w:t xml:space="preserve">keerukam. </w:t>
      </w:r>
      <w:r w:rsidR="00083FE6">
        <w:t xml:space="preserve">Head lahendust, kuidas </w:t>
      </w:r>
      <w:proofErr w:type="spellStart"/>
      <w:r w:rsidR="00083FE6" w:rsidRPr="00083FE6">
        <w:t>KEO-de</w:t>
      </w:r>
      <w:proofErr w:type="spellEnd"/>
      <w:r w:rsidR="00083FE6" w:rsidRPr="00083FE6">
        <w:t xml:space="preserve"> esindatuse määra täpselt mõõta</w:t>
      </w:r>
      <w:r w:rsidR="00083FE6">
        <w:t>, ei oska EAÜ hetkel välja pakkuda</w:t>
      </w:r>
      <w:r w:rsidR="00AC16B9">
        <w:t>, k</w:t>
      </w:r>
      <w:r w:rsidR="00083FE6">
        <w:t xml:space="preserve">uid üks võimalus on </w:t>
      </w:r>
      <w:r w:rsidR="00083FE6" w:rsidRPr="00083FE6">
        <w:t xml:space="preserve">hinnata tele- </w:t>
      </w:r>
      <w:r w:rsidR="00AC16B9">
        <w:t>ja</w:t>
      </w:r>
      <w:r w:rsidR="00083FE6" w:rsidRPr="00083FE6">
        <w:t xml:space="preserve"> kinolevis olevate audiovisuaalsete teoste jagunemist kodu- ja välismaiste teoste vahel. Nende </w:t>
      </w:r>
      <w:proofErr w:type="spellStart"/>
      <w:r w:rsidR="00083FE6">
        <w:t>KEO-de</w:t>
      </w:r>
      <w:proofErr w:type="spellEnd"/>
      <w:r w:rsidR="00083FE6">
        <w:t xml:space="preserve"> </w:t>
      </w:r>
      <w:r w:rsidR="00083FE6" w:rsidRPr="00083FE6">
        <w:t xml:space="preserve">osa, </w:t>
      </w:r>
      <w:r w:rsidR="00083FE6">
        <w:t xml:space="preserve">kes </w:t>
      </w:r>
      <w:r w:rsidR="00083FE6" w:rsidRPr="00083FE6">
        <w:t xml:space="preserve">välismaiseid teoseid ei esinda, tuleks suunata tasandusfondi või muul moel ümber jaotada. </w:t>
      </w:r>
      <w:r w:rsidR="00083FE6">
        <w:t>Kusjuures t</w:t>
      </w:r>
      <w:r w:rsidR="00083FE6" w:rsidRPr="00083FE6">
        <w:t>asandusfondist saa</w:t>
      </w:r>
      <w:r w:rsidR="00083FE6">
        <w:t xml:space="preserve">ksid </w:t>
      </w:r>
      <w:r w:rsidR="00083FE6" w:rsidRPr="00083FE6">
        <w:t xml:space="preserve">omakorda kõik </w:t>
      </w:r>
      <w:proofErr w:type="spellStart"/>
      <w:r w:rsidR="00083FE6">
        <w:t>KEO-d</w:t>
      </w:r>
      <w:proofErr w:type="spellEnd"/>
      <w:r w:rsidR="00083FE6">
        <w:t xml:space="preserve"> vastava </w:t>
      </w:r>
      <w:r w:rsidR="00083FE6" w:rsidRPr="00083FE6">
        <w:t>proportsiooni alusel või mingi muu võtme järgi.</w:t>
      </w:r>
    </w:p>
    <w:p w14:paraId="5DFEA14E" w14:textId="46FFBFFA" w:rsidR="005057EA" w:rsidRDefault="005057EA" w:rsidP="00083FE6">
      <w:pPr>
        <w:ind w:left="720"/>
      </w:pPr>
      <w:r>
        <w:t xml:space="preserve">Seejuures on VTK tabelis 3 </w:t>
      </w:r>
      <w:r w:rsidRPr="00435642">
        <w:t xml:space="preserve">toodud arvulised andmed ainult </w:t>
      </w:r>
      <w:proofErr w:type="spellStart"/>
      <w:r w:rsidRPr="00435642">
        <w:t>KEO-de</w:t>
      </w:r>
      <w:proofErr w:type="spellEnd"/>
      <w:r w:rsidRPr="00435642">
        <w:t xml:space="preserve"> </w:t>
      </w:r>
      <w:r w:rsidR="0015698F">
        <w:t xml:space="preserve">oma </w:t>
      </w:r>
      <w:r w:rsidRPr="00435642">
        <w:t xml:space="preserve">liikmete kohta. Näiteks on tabelis kirjas, et 2022. aasta seisuga oli EAÜ-l 5859 liiget, nendest 5249 muusikaautorit. Kuid tähelepanuta on jäetud, et teiste riikide kollektiivse esindamise organisatsioonidega sõlmitud vastastikuse esindamise lepingute alusel esindab EAÜ Eestis umbes 5 miljoni autori huve. Antud muudatus ei pruugi loomulikult puudutada kõiki 5 miljonit EAÜ poolt esindatud õiguste omajat, kuid kindlasti on mõjutatud õiguste omajate hulk </w:t>
      </w:r>
      <w:r>
        <w:t xml:space="preserve">oluliselt </w:t>
      </w:r>
      <w:r w:rsidRPr="00435642">
        <w:t>suurem kui VTK-s märgitud 9000.</w:t>
      </w:r>
    </w:p>
    <w:p w14:paraId="2342C605" w14:textId="1FB9BF64" w:rsidR="000F7921" w:rsidRPr="000F7921" w:rsidRDefault="00083FE6" w:rsidP="000F7921">
      <w:pPr>
        <w:pStyle w:val="ListParagraph"/>
        <w:numPr>
          <w:ilvl w:val="0"/>
          <w:numId w:val="2"/>
        </w:numPr>
      </w:pPr>
      <w:r w:rsidRPr="00083FE6">
        <w:t>Jaotuskava kinnitamine ei saa kindlasti olla</w:t>
      </w:r>
      <w:r>
        <w:t xml:space="preserve"> </w:t>
      </w:r>
      <w:proofErr w:type="spellStart"/>
      <w:r>
        <w:t>KEO-de</w:t>
      </w:r>
      <w:proofErr w:type="spellEnd"/>
      <w:r>
        <w:t xml:space="preserve"> </w:t>
      </w:r>
      <w:r w:rsidRPr="00083FE6">
        <w:t xml:space="preserve">vahel konsensuslik, sest see võimaldab mõnel osapoolel </w:t>
      </w:r>
      <w:r w:rsidR="000F7921">
        <w:t xml:space="preserve">kogu tasu jaotamise protsess peatada. Näiteks 2023. aastal kohtusid kuus </w:t>
      </w:r>
      <w:proofErr w:type="spellStart"/>
      <w:r w:rsidR="000F7921">
        <w:t>KEO-d</w:t>
      </w:r>
      <w:proofErr w:type="spellEnd"/>
      <w:r w:rsidR="000F7921">
        <w:t xml:space="preserve"> pooleteise kuu jooksul nii omavahel kui ja </w:t>
      </w:r>
      <w:r w:rsidR="000F7921" w:rsidRPr="000F7921">
        <w:t>Ju</w:t>
      </w:r>
      <w:r w:rsidR="000F7921">
        <w:t xml:space="preserve">stiitsministeeriumi </w:t>
      </w:r>
      <w:r w:rsidR="000F7921" w:rsidRPr="000F7921">
        <w:t xml:space="preserve">osalusel ning tulemuseks oli ikkagi ühe osapoole </w:t>
      </w:r>
      <w:r w:rsidR="000F7921">
        <w:t xml:space="preserve">(FETÜ) </w:t>
      </w:r>
      <w:r w:rsidR="000F7921" w:rsidRPr="000F7921">
        <w:t>vastuhääl ning Ju</w:t>
      </w:r>
      <w:r w:rsidR="000F7921">
        <w:t xml:space="preserve">stiitsministeeriumi </w:t>
      </w:r>
      <w:r w:rsidR="000F7921" w:rsidRPr="000F7921">
        <w:t xml:space="preserve">vastu kohtusse minek. </w:t>
      </w:r>
    </w:p>
    <w:p w14:paraId="4F3F47C0" w14:textId="77777777" w:rsidR="00435642" w:rsidRPr="00435642" w:rsidRDefault="00435642" w:rsidP="00435642">
      <w:pPr>
        <w:rPr>
          <w:b/>
          <w:bCs/>
          <w:sz w:val="22"/>
          <w:szCs w:val="22"/>
        </w:rPr>
      </w:pPr>
      <w:r w:rsidRPr="00435642">
        <w:rPr>
          <w:b/>
          <w:bCs/>
          <w:sz w:val="22"/>
          <w:szCs w:val="22"/>
        </w:rPr>
        <w:t>2. Blokeerimismeede</w:t>
      </w:r>
    </w:p>
    <w:p w14:paraId="49B067BE" w14:textId="77E16888" w:rsidR="00435642" w:rsidRPr="00435642" w:rsidRDefault="00435642" w:rsidP="00435642">
      <w:r w:rsidRPr="00435642">
        <w:t>Juba 2022 aasta aprillis pöördusid EAÜ, Eesti Audiovisuaalautorite Liit, Eesti Esitajate Liit, Eesti Fonogrammitootjate Ühing ning Eesti Autoriõiguste Kaitse Organisatsioon J</w:t>
      </w:r>
      <w:r w:rsidR="006364C7">
        <w:t>ustiitsministeeriumi p</w:t>
      </w:r>
      <w:r w:rsidRPr="00435642">
        <w:t>oole pöördumisega, milles viidati nii litsentseerimata sisupakkujate populaarsuse kasvule, sellest tulenevale majanduslikule kahjule kui ka platvormide sulgemise keerukusele</w:t>
      </w:r>
      <w:r w:rsidRPr="00435642">
        <w:rPr>
          <w:vertAlign w:val="superscript"/>
        </w:rPr>
        <w:footnoteReference w:id="8"/>
      </w:r>
      <w:r w:rsidRPr="00435642">
        <w:t xml:space="preserve">. </w:t>
      </w:r>
    </w:p>
    <w:p w14:paraId="0F88B972" w14:textId="58A3A9F8" w:rsidR="00435642" w:rsidRPr="00435642" w:rsidRDefault="00435642" w:rsidP="00435642">
      <w:pPr>
        <w:rPr>
          <w:i/>
          <w:iCs/>
        </w:rPr>
      </w:pPr>
      <w:r w:rsidRPr="00435642">
        <w:t>Nüüd on siis J</w:t>
      </w:r>
      <w:r w:rsidR="00696123">
        <w:t>ustiitsministeerium</w:t>
      </w:r>
      <w:r w:rsidRPr="00435642">
        <w:t xml:space="preserve"> välja pakkunud vastava meetme, mis VTK-s on sõnastatud järgmiselt: </w:t>
      </w:r>
      <w:r w:rsidRPr="00435642">
        <w:rPr>
          <w:i/>
          <w:iCs/>
        </w:rPr>
        <w:t>„Selleks tuleb anda Tarbijakaitse ja Tehnilise Järelevalve Ametile (TTJA) pädevus teha internetiteenuse pakkujatele ettekirjutus, et viimased blokeeriksid autoriõiguseid ja nendega kaasnevaid õiguseid rikkuvale lehele juurdepääsu Eesti territooriumil. Enne ettekirjutuse tegemist peaks õiguste omajal või tema esindajal olema kohustus õiguste rikkuja poole pöörduda ning paluda õiguse rikkumise lõpetamist. Kui määratud tähtaja, näiteks 5 tööpäeva jooksul, õiguste rikkumist ei lõpetata, saab õiguste omaja või tema esindaja teha avalduse TTJA-</w:t>
      </w:r>
      <w:proofErr w:type="spellStart"/>
      <w:r w:rsidRPr="00435642">
        <w:rPr>
          <w:i/>
          <w:iCs/>
        </w:rPr>
        <w:t>le</w:t>
      </w:r>
      <w:proofErr w:type="spellEnd"/>
      <w:r w:rsidRPr="00435642">
        <w:rPr>
          <w:i/>
          <w:iCs/>
        </w:rPr>
        <w:t xml:space="preserve">. TTJA hindab avalduses esitatud informatsiooni pinnalt määratud tähtaja (näiteks 10 tööpäeva) jooksul, kas õiguste rikkumine leiab aset, ning avalduse rahuldamisel teeb TTJA </w:t>
      </w:r>
      <w:r w:rsidRPr="00435642">
        <w:rPr>
          <w:i/>
          <w:iCs/>
        </w:rPr>
        <w:lastRenderedPageBreak/>
        <w:t>ettekirjutuse internetiteenuse pakkuja(te)</w:t>
      </w:r>
      <w:proofErr w:type="spellStart"/>
      <w:r w:rsidRPr="00435642">
        <w:rPr>
          <w:i/>
          <w:iCs/>
        </w:rPr>
        <w:t>le</w:t>
      </w:r>
      <w:proofErr w:type="spellEnd"/>
      <w:r w:rsidRPr="00435642">
        <w:rPr>
          <w:i/>
          <w:iCs/>
        </w:rPr>
        <w:t>. Ettekirjutuse mittetäitmisel rakendataks sunniraha. Kõik TTJA tehtud otsused kuuluksid edasikaebamisele halduskohtusse.“</w:t>
      </w:r>
    </w:p>
    <w:p w14:paraId="0B3F0097" w14:textId="32F2EB9D" w:rsidR="00435642" w:rsidRDefault="006364C7" w:rsidP="00435642">
      <w:r>
        <w:t>EAÜ leiab, et eelkirjeldatud meetme rakendamine arvestab õiguste omajate huvidega ning on vajalik ja põhjendatud</w:t>
      </w:r>
      <w:r w:rsidR="00645DBD">
        <w:t xml:space="preserve"> võitluses piraatlusega</w:t>
      </w:r>
      <w:r>
        <w:t>. Kusjuures tegemist ei ole tsensuuriga nagu selle meetme kohta on meedias arvamust avaldatud</w:t>
      </w:r>
      <w:r w:rsidR="00AC16B9">
        <w:t>, vaid olemasolevate seaduste tõhusa jõustamisega</w:t>
      </w:r>
      <w:r>
        <w:t xml:space="preserve">. </w:t>
      </w:r>
    </w:p>
    <w:p w14:paraId="46760D6E" w14:textId="5F8261DE" w:rsidR="00933EF9" w:rsidRPr="00933EF9" w:rsidRDefault="00933EF9" w:rsidP="00933EF9">
      <w:r w:rsidRPr="00933EF9">
        <w:t xml:space="preserve">1999.aastal ratifitseeris Riigikogu Protokolli Eesti ühinemise kohta Maailma Kaubandusorganisatsiooni (WTO) asutamislepinguga (nn. </w:t>
      </w:r>
      <w:proofErr w:type="spellStart"/>
      <w:r w:rsidRPr="00933EF9">
        <w:t>Marrekeśi</w:t>
      </w:r>
      <w:proofErr w:type="spellEnd"/>
      <w:r w:rsidRPr="00933EF9">
        <w:t xml:space="preserve"> lepinguga), mille lisaks on Intellektuaalse omandi õiguste kaubandusaspektide leping ehk nn. TRIPS leping. TRIPS lepingus räägitakse </w:t>
      </w:r>
      <w:r>
        <w:t xml:space="preserve">muuhulgas </w:t>
      </w:r>
      <w:r w:rsidRPr="00933EF9">
        <w:t>õiguserikkumiste ennetamisest. Artiklis 41 on sätestatud, et liikmed tagavad oma seadustega võimaluse kasutada TRIPS lepingus määratletud kaitsmismenetlusi, et võimaldada tõhusaid samme intellektuaalomandi õiguste iga rikkumise vastu, sealhulgas kiireloomulisi kaitsevahendeid rikkumise tõkestamiseks ja kaitsevahendeid tulevaste rikkumiste ennetamiseks. Käes on 20</w:t>
      </w:r>
      <w:r>
        <w:t>24. aasta</w:t>
      </w:r>
      <w:r w:rsidRPr="00933EF9">
        <w:t xml:space="preserve">, kuid </w:t>
      </w:r>
      <w:r>
        <w:t xml:space="preserve">peale hagi tagamise muid </w:t>
      </w:r>
      <w:r w:rsidRPr="00933EF9">
        <w:t>efektiivseid meetmeid</w:t>
      </w:r>
      <w:r>
        <w:t xml:space="preserve"> </w:t>
      </w:r>
      <w:r w:rsidRPr="00933EF9">
        <w:t>autoriõiguste ja autoriõigusega kaasnevate õiguste rikkumise tõkestamiseks ja ennetamiseks</w:t>
      </w:r>
      <w:r>
        <w:t xml:space="preserve"> </w:t>
      </w:r>
      <w:r w:rsidRPr="00933EF9">
        <w:t xml:space="preserve">Eesti seadusandluses seniajani ei ole. </w:t>
      </w:r>
    </w:p>
    <w:p w14:paraId="7AAF77AE" w14:textId="3C9C9EBC" w:rsidR="00933EF9" w:rsidRDefault="00933EF9" w:rsidP="00933EF9">
      <w:r w:rsidRPr="00933EF9">
        <w:t xml:space="preserve">EAÜ loodab väga, et juhul, kui seaduses sätestatakse </w:t>
      </w:r>
      <w:r>
        <w:t>TTJA-</w:t>
      </w:r>
      <w:proofErr w:type="spellStart"/>
      <w:r>
        <w:t>le</w:t>
      </w:r>
      <w:proofErr w:type="spellEnd"/>
      <w:r>
        <w:t xml:space="preserve"> </w:t>
      </w:r>
      <w:r w:rsidRPr="00933EF9">
        <w:t xml:space="preserve">õigus teostada järelevalvet </w:t>
      </w:r>
      <w:proofErr w:type="spellStart"/>
      <w:r>
        <w:t>AutÕS</w:t>
      </w:r>
      <w:proofErr w:type="spellEnd"/>
      <w:r>
        <w:t xml:space="preserve">-s </w:t>
      </w:r>
      <w:r w:rsidRPr="00933EF9">
        <w:t>sätestatud nõuete järgimise üle ning võimalus teha ettekirjutusi ning rakendada sunniraha, siis aitavad need meetmed kiirelt tõkestada õiguserikkumise edasist toimet ja ennetada tulevasi õiguserikkumisi.</w:t>
      </w:r>
    </w:p>
    <w:p w14:paraId="08D67D75" w14:textId="623F9FE9" w:rsidR="00AC16B9" w:rsidRPr="00933EF9" w:rsidRDefault="00AC16B9" w:rsidP="00933EF9">
      <w:r>
        <w:t xml:space="preserve">DNS-blokeerimise meetme täpsed detailid (nt vastamise tähtajad) vajavad sidusgruppide </w:t>
      </w:r>
      <w:r w:rsidR="00675E96">
        <w:t xml:space="preserve">ja ministeeriumi </w:t>
      </w:r>
      <w:r>
        <w:t>poolt veel ühist läbimõtlemist ja täpsustamist.</w:t>
      </w:r>
    </w:p>
    <w:p w14:paraId="0EBE1CF5" w14:textId="77777777" w:rsidR="00435642" w:rsidRPr="00435642" w:rsidRDefault="00435642" w:rsidP="00435642">
      <w:pPr>
        <w:rPr>
          <w:b/>
          <w:bCs/>
          <w:sz w:val="22"/>
          <w:szCs w:val="22"/>
        </w:rPr>
      </w:pPr>
      <w:r w:rsidRPr="00435642">
        <w:rPr>
          <w:b/>
          <w:bCs/>
          <w:sz w:val="22"/>
          <w:szCs w:val="22"/>
        </w:rPr>
        <w:t>3. Autoriõiguse komisjon</w:t>
      </w:r>
    </w:p>
    <w:p w14:paraId="2E69985B" w14:textId="712E4203" w:rsidR="00435642" w:rsidRPr="00435642" w:rsidRDefault="00DD0654" w:rsidP="00435642">
      <w:r>
        <w:t xml:space="preserve">EAÜ esindaja on </w:t>
      </w:r>
      <w:r w:rsidR="00435642" w:rsidRPr="00435642">
        <w:t xml:space="preserve">osalenud aastate jooksul autoriõiguse komisjoni liikmena mitmete vaidluste lahendamisel ja </w:t>
      </w:r>
      <w:r>
        <w:t xml:space="preserve">seega võime </w:t>
      </w:r>
      <w:r w:rsidR="00435642" w:rsidRPr="00435642">
        <w:t xml:space="preserve">kinnitada, et komisjoni poole </w:t>
      </w:r>
      <w:proofErr w:type="spellStart"/>
      <w:r w:rsidR="00435642" w:rsidRPr="00435642">
        <w:t>pöördujate</w:t>
      </w:r>
      <w:proofErr w:type="spellEnd"/>
      <w:r w:rsidR="00435642" w:rsidRPr="00435642">
        <w:t xml:space="preserve"> arv on aasta-aastalt jäänud aina vähemaks. VTK-s on märgitud, et 2023. aastal esitati komisjonile üks avaldus</w:t>
      </w:r>
      <w:r>
        <w:t xml:space="preserve"> (mida lahendasid Patendiameti, EAÜ ja Kultuurikoja esindajad)</w:t>
      </w:r>
      <w:r w:rsidR="00435642" w:rsidRPr="00435642">
        <w:t xml:space="preserve">, sellele eelneval paaril aastal ei olnud ühtegi pöördumist. Praegu kuuluvad autoriõiguse komisjoni liikmete hulka 13 organisatsiooni esindajad. </w:t>
      </w:r>
    </w:p>
    <w:p w14:paraId="24069B20" w14:textId="7C43A581" w:rsidR="00435642" w:rsidRPr="00435642" w:rsidRDefault="00435642" w:rsidP="00435642">
      <w:r w:rsidRPr="00435642">
        <w:t>Komisjoni liikmed võiksid tõesti saada tehtud töö ehk lepitusmenetluse läbiviimise eest tasu, mis tuleb riigieelarvest. Võibolla see motiveeriks komisjoni liikmeid rohkem vaidluste lahendamisel osalema. Kuid isegi kui komisjoni liikmetel oleks õigus saada tasu, ei pruugi neil siiski igal ajahetkel olla võimalik komisjoni töös osaleda. Seega peaks komisjonis liikmetena kirjas olema rohkem kui kolm</w:t>
      </w:r>
      <w:r w:rsidR="00DD0654">
        <w:t>e</w:t>
      </w:r>
      <w:r w:rsidRPr="00435642">
        <w:t>-nel</w:t>
      </w:r>
      <w:r w:rsidR="00DD0654">
        <w:t>ja organisatsiooni esindajad</w:t>
      </w:r>
      <w:r w:rsidRPr="00435642">
        <w:t>. Kusjuures vajadusel on võimalus kaasata komisjoni tegevusse sõltumatuid eksperte väljastpoolt komisjoni.</w:t>
      </w:r>
    </w:p>
    <w:p w14:paraId="59A21912" w14:textId="5B0CB934" w:rsidR="00435642" w:rsidRDefault="00435642" w:rsidP="00435642">
      <w:r w:rsidRPr="00435642">
        <w:t xml:space="preserve">Eraldi küsimus on, kuidas tõsta autoriõiguse komisjoni populaarsust ehk teadlikkust sellise komisjoni olemasolust. </w:t>
      </w:r>
      <w:r w:rsidR="00582189">
        <w:t xml:space="preserve">Lisaks, </w:t>
      </w:r>
      <w:r w:rsidR="00DD26F4">
        <w:t xml:space="preserve">kas komisjoni olemasolu kohta teadlikkuse tõstmine suurendab komisjonile esitatavate avalduste arvu. </w:t>
      </w:r>
    </w:p>
    <w:p w14:paraId="6BC3E092" w14:textId="2B5AADEB" w:rsidR="00582189" w:rsidRPr="00435642" w:rsidRDefault="00582189" w:rsidP="00435642">
      <w:r>
        <w:t>EAÜ leiab, et autoriõiguse komisjoni</w:t>
      </w:r>
      <w:r w:rsidR="00785B2E">
        <w:t xml:space="preserve">ga seonduvate probleemidega tegelemine ja sellele menetlusliku ressursi panemine on hetkel ebavajalik, sest nende lahendamine omab pigem tagasihoidlikku mõju autoriõiguse maastiku efektiivsele toimimisele. </w:t>
      </w:r>
    </w:p>
    <w:p w14:paraId="74352189" w14:textId="77777777" w:rsidR="00435642" w:rsidRPr="00435642" w:rsidRDefault="00435642" w:rsidP="00435642">
      <w:pPr>
        <w:rPr>
          <w:b/>
          <w:bCs/>
          <w:sz w:val="22"/>
          <w:szCs w:val="22"/>
        </w:rPr>
      </w:pPr>
      <w:r w:rsidRPr="00435642">
        <w:rPr>
          <w:b/>
          <w:bCs/>
          <w:sz w:val="22"/>
          <w:szCs w:val="22"/>
        </w:rPr>
        <w:t>4. Muud kitsaskohad. Ajakirjandusväljaande kirjastad kui õiguskaitsega hõlmatud õigussubjektid</w:t>
      </w:r>
    </w:p>
    <w:p w14:paraId="35546E1F" w14:textId="15E28629" w:rsidR="00435642" w:rsidRPr="00435642" w:rsidRDefault="00435642" w:rsidP="00435642">
      <w:r w:rsidRPr="00435642">
        <w:lastRenderedPageBreak/>
        <w:t xml:space="preserve">Kuigi </w:t>
      </w:r>
      <w:proofErr w:type="spellStart"/>
      <w:r w:rsidRPr="00435642">
        <w:t>AutÕS</w:t>
      </w:r>
      <w:proofErr w:type="spellEnd"/>
      <w:r w:rsidRPr="00435642">
        <w:t xml:space="preserve"> kohaselt peetakse ka ajakirjandusväljaande kirjastajaid nendeks isikuteks, kellele kuuluvad autoriõigusega kaasnevad õigused, siis vajavad mitmed </w:t>
      </w:r>
      <w:proofErr w:type="spellStart"/>
      <w:r w:rsidRPr="00435642">
        <w:t>AutÕS</w:t>
      </w:r>
      <w:proofErr w:type="spellEnd"/>
      <w:r w:rsidRPr="00435642">
        <w:t xml:space="preserve"> sätted täiendamist seoses ajakirjandusväljaannetega seotud erisustega. Seega on J</w:t>
      </w:r>
      <w:r w:rsidR="00DD26F4">
        <w:t xml:space="preserve">ustiitsministeeriumi </w:t>
      </w:r>
      <w:r w:rsidRPr="00435642">
        <w:t xml:space="preserve">poolt VTK-s toodud sellekohased ettepanekud vastavate </w:t>
      </w:r>
      <w:proofErr w:type="spellStart"/>
      <w:r w:rsidRPr="00435642">
        <w:t>AutÕS</w:t>
      </w:r>
      <w:proofErr w:type="spellEnd"/>
      <w:r w:rsidRPr="00435642">
        <w:t xml:space="preserve"> sätete täiendamiseks igati põhjendatud. </w:t>
      </w:r>
    </w:p>
    <w:p w14:paraId="3BE6840E" w14:textId="77777777" w:rsidR="00F44A80" w:rsidRDefault="00F44A80" w:rsidP="009828AF"/>
    <w:p w14:paraId="3D47F984" w14:textId="08350D91" w:rsidR="009828AF" w:rsidRDefault="008D1BCA" w:rsidP="009828AF">
      <w:r>
        <w:t>Lugupidamisega</w:t>
      </w:r>
    </w:p>
    <w:p w14:paraId="76562653" w14:textId="62093643" w:rsidR="008D1BCA" w:rsidRDefault="008D1BCA" w:rsidP="009828AF"/>
    <w:p w14:paraId="167388C7" w14:textId="012BB259" w:rsidR="008D1BCA" w:rsidRDefault="008D1BCA" w:rsidP="009828AF">
      <w:r>
        <w:t>Mati Kaalep</w:t>
      </w:r>
    </w:p>
    <w:p w14:paraId="0465B190" w14:textId="2B371D61" w:rsidR="008D1BCA" w:rsidRPr="008D1BCA" w:rsidRDefault="008D1BCA" w:rsidP="009828AF">
      <w:pPr>
        <w:rPr>
          <w:i/>
          <w:iCs/>
        </w:rPr>
      </w:pPr>
      <w:r w:rsidRPr="008D1BCA">
        <w:rPr>
          <w:i/>
          <w:iCs/>
        </w:rPr>
        <w:t>/allkirjastatud digitaalselt/</w:t>
      </w:r>
    </w:p>
    <w:p w14:paraId="12323F03" w14:textId="0BCF292C" w:rsidR="009828AF" w:rsidRPr="00CE1740" w:rsidRDefault="008D1BCA" w:rsidP="009828AF">
      <w:r>
        <w:t>EAÜ tegevjuht</w:t>
      </w:r>
    </w:p>
    <w:sectPr w:rsidR="009828AF" w:rsidRPr="00CE1740" w:rsidSect="002758F3">
      <w:headerReference w:type="default" r:id="rId9"/>
      <w:footerReference w:type="default" r:id="rId10"/>
      <w:headerReference w:type="first" r:id="rId11"/>
      <w:footerReference w:type="first" r:id="rId12"/>
      <w:pgSz w:w="11906" w:h="16838" w:code="9"/>
      <w:pgMar w:top="1134"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4C5C" w14:textId="77777777" w:rsidR="002758F3" w:rsidRDefault="002758F3" w:rsidP="00EC2011">
      <w:r>
        <w:separator/>
      </w:r>
    </w:p>
  </w:endnote>
  <w:endnote w:type="continuationSeparator" w:id="0">
    <w:p w14:paraId="705DC049" w14:textId="77777777" w:rsidR="002758F3" w:rsidRDefault="002758F3" w:rsidP="00EC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B4D5" w14:textId="77777777" w:rsidR="00EC2011" w:rsidRDefault="00A04E00" w:rsidP="00EC2011">
    <w:pPr>
      <w:rPr>
        <w:sz w:val="16"/>
      </w:rPr>
    </w:pPr>
    <w:r>
      <w:rPr>
        <w:noProof/>
        <w:sz w:val="16"/>
      </w:rPr>
      <mc:AlternateContent>
        <mc:Choice Requires="wps">
          <w:drawing>
            <wp:anchor distT="0" distB="0" distL="114300" distR="114300" simplePos="0" relativeHeight="251658240" behindDoc="0" locked="0" layoutInCell="1" allowOverlap="1" wp14:anchorId="0FBF9975" wp14:editId="446ED3AD">
              <wp:simplePos x="0" y="0"/>
              <wp:positionH relativeFrom="column">
                <wp:posOffset>-29210</wp:posOffset>
              </wp:positionH>
              <wp:positionV relativeFrom="paragraph">
                <wp:posOffset>52705</wp:posOffset>
              </wp:positionV>
              <wp:extent cx="5705475" cy="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A32E8" id="_x0000_t32" coordsize="21600,21600" o:spt="32" o:oned="t" path="m,l21600,21600e" filled="f">
              <v:path arrowok="t" fillok="f" o:connecttype="none"/>
              <o:lock v:ext="edit" shapetype="t"/>
            </v:shapetype>
            <v:shape id="AutoShape 1" o:spid="_x0000_s1026" type="#_x0000_t32" style="position:absolute;margin-left:-2.3pt;margin-top:4.15pt;width:4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" strokecolor="black [3213]"/>
          </w:pict>
        </mc:Fallback>
      </mc:AlternateContent>
    </w:r>
  </w:p>
  <w:p w14:paraId="4C611357" w14:textId="77777777" w:rsidR="00EC2011" w:rsidRPr="00A55C1C" w:rsidRDefault="00EC2011" w:rsidP="00A55C1C">
    <w:pPr>
      <w:spacing w:after="0"/>
      <w:rPr>
        <w:sz w:val="18"/>
        <w:szCs w:val="18"/>
      </w:rPr>
    </w:pPr>
    <w:r w:rsidRPr="00A55C1C">
      <w:rPr>
        <w:sz w:val="18"/>
        <w:szCs w:val="18"/>
      </w:rPr>
      <w:t>Lille 13</w:t>
    </w:r>
    <w:r w:rsidRPr="00A55C1C">
      <w:rPr>
        <w:sz w:val="18"/>
        <w:szCs w:val="18"/>
      </w:rPr>
      <w:tab/>
    </w:r>
    <w:r w:rsidRPr="00A55C1C">
      <w:rPr>
        <w:sz w:val="18"/>
        <w:szCs w:val="18"/>
      </w:rPr>
      <w:tab/>
    </w:r>
    <w:r w:rsidRPr="00A55C1C">
      <w:rPr>
        <w:sz w:val="18"/>
        <w:szCs w:val="18"/>
      </w:rPr>
      <w:tab/>
    </w:r>
    <w:r w:rsidRPr="00A55C1C">
      <w:rPr>
        <w:sz w:val="18"/>
        <w:szCs w:val="18"/>
      </w:rPr>
      <w:tab/>
      <w:t>Tel:</w:t>
    </w:r>
    <w:r w:rsidRPr="00A55C1C">
      <w:rPr>
        <w:sz w:val="18"/>
        <w:szCs w:val="18"/>
      </w:rPr>
      <w:tab/>
      <w:t xml:space="preserve">(+372) 6684 360 </w:t>
    </w:r>
    <w:r w:rsidRPr="00A55C1C">
      <w:rPr>
        <w:sz w:val="18"/>
        <w:szCs w:val="18"/>
      </w:rPr>
      <w:tab/>
    </w:r>
    <w:r w:rsidRPr="00A55C1C">
      <w:rPr>
        <w:sz w:val="18"/>
        <w:szCs w:val="18"/>
      </w:rPr>
      <w:tab/>
      <w:t xml:space="preserve">Pank / Bank: SEB </w:t>
    </w:r>
  </w:p>
  <w:p w14:paraId="432FC0C7" w14:textId="77777777" w:rsidR="00EC2011" w:rsidRPr="00A55C1C" w:rsidRDefault="00EC2011" w:rsidP="00A55C1C">
    <w:pPr>
      <w:spacing w:after="0"/>
      <w:rPr>
        <w:sz w:val="18"/>
        <w:szCs w:val="18"/>
      </w:rPr>
    </w:pPr>
    <w:r w:rsidRPr="00A55C1C">
      <w:rPr>
        <w:sz w:val="18"/>
        <w:szCs w:val="18"/>
      </w:rPr>
      <w:t>10614 Tallinn, ESTONIA</w:t>
    </w:r>
    <w:r w:rsidRPr="00A55C1C">
      <w:rPr>
        <w:sz w:val="18"/>
        <w:szCs w:val="18"/>
      </w:rPr>
      <w:tab/>
    </w:r>
    <w:r w:rsidRPr="00A55C1C">
      <w:rPr>
        <w:sz w:val="18"/>
        <w:szCs w:val="18"/>
      </w:rPr>
      <w:tab/>
      <w:t>Fax:</w:t>
    </w:r>
    <w:r w:rsidRPr="00A55C1C">
      <w:rPr>
        <w:sz w:val="18"/>
        <w:szCs w:val="18"/>
      </w:rPr>
      <w:tab/>
      <w:t>(+372) 6684 361</w:t>
    </w:r>
    <w:r w:rsidRPr="00A55C1C">
      <w:rPr>
        <w:sz w:val="18"/>
        <w:szCs w:val="18"/>
      </w:rPr>
      <w:tab/>
    </w:r>
    <w:r w:rsidRPr="00A55C1C">
      <w:rPr>
        <w:sz w:val="18"/>
        <w:szCs w:val="18"/>
      </w:rPr>
      <w:tab/>
      <w:t>Tornimäe 2, 15010 Tallinn, ESTONIA</w:t>
    </w:r>
  </w:p>
  <w:p w14:paraId="1A0379C6" w14:textId="46CB8B02" w:rsidR="00EC2011" w:rsidRPr="00A55C1C" w:rsidRDefault="00EC2011" w:rsidP="00A55C1C">
    <w:pPr>
      <w:spacing w:after="0"/>
      <w:rPr>
        <w:sz w:val="18"/>
        <w:szCs w:val="18"/>
      </w:rPr>
    </w:pPr>
    <w:r w:rsidRPr="00A55C1C">
      <w:rPr>
        <w:sz w:val="18"/>
        <w:szCs w:val="18"/>
      </w:rPr>
      <w:t>Reg.nr. 80004182</w:t>
    </w:r>
    <w:r w:rsidRPr="00A55C1C">
      <w:rPr>
        <w:sz w:val="18"/>
        <w:szCs w:val="18"/>
      </w:rPr>
      <w:tab/>
    </w:r>
    <w:r w:rsidRPr="00A55C1C">
      <w:rPr>
        <w:sz w:val="18"/>
        <w:szCs w:val="18"/>
      </w:rPr>
      <w:tab/>
    </w:r>
    <w:r w:rsidRPr="00A55C1C">
      <w:rPr>
        <w:sz w:val="18"/>
        <w:szCs w:val="18"/>
      </w:rPr>
      <w:tab/>
      <w:t>E-mail:</w:t>
    </w:r>
    <w:r w:rsidRPr="00A55C1C">
      <w:rPr>
        <w:sz w:val="18"/>
        <w:szCs w:val="18"/>
      </w:rPr>
      <w:tab/>
    </w:r>
    <w:hyperlink r:id="rId1" w:history="1">
      <w:r w:rsidR="008C5476" w:rsidRPr="00A55C1C">
        <w:rPr>
          <w:rStyle w:val="Hyperlink"/>
          <w:sz w:val="18"/>
          <w:szCs w:val="18"/>
        </w:rPr>
        <w:t>eau@eau.org</w:t>
      </w:r>
    </w:hyperlink>
    <w:r w:rsidR="008C5476" w:rsidRPr="00A55C1C">
      <w:rPr>
        <w:sz w:val="18"/>
        <w:szCs w:val="18"/>
      </w:rPr>
      <w:t xml:space="preserve"> </w:t>
    </w:r>
    <w:r w:rsidR="008C5476" w:rsidRPr="00A55C1C">
      <w:rPr>
        <w:sz w:val="18"/>
        <w:szCs w:val="18"/>
      </w:rPr>
      <w:tab/>
    </w:r>
    <w:r w:rsidR="008C5476" w:rsidRPr="00A55C1C">
      <w:rPr>
        <w:sz w:val="18"/>
        <w:szCs w:val="18"/>
      </w:rPr>
      <w:tab/>
      <w:t>IBAN: EE881010022000085006</w:t>
    </w:r>
  </w:p>
  <w:p w14:paraId="06C6D5AC" w14:textId="7EE3FDAA" w:rsidR="00EC2011" w:rsidRPr="00A55C1C" w:rsidRDefault="00EC2011" w:rsidP="00A55C1C">
    <w:pPr>
      <w:spacing w:after="0"/>
      <w:rPr>
        <w:sz w:val="18"/>
        <w:szCs w:val="18"/>
      </w:rPr>
    </w:pPr>
    <w:r w:rsidRPr="00A55C1C">
      <w:rPr>
        <w:sz w:val="18"/>
        <w:szCs w:val="18"/>
      </w:rPr>
      <w:tab/>
    </w:r>
    <w:r w:rsidRPr="00A55C1C">
      <w:rPr>
        <w:sz w:val="18"/>
        <w:szCs w:val="18"/>
      </w:rPr>
      <w:tab/>
    </w:r>
    <w:r w:rsidRPr="00A55C1C">
      <w:rPr>
        <w:sz w:val="18"/>
        <w:szCs w:val="18"/>
      </w:rPr>
      <w:tab/>
    </w:r>
    <w:r w:rsidRPr="00A55C1C">
      <w:rPr>
        <w:sz w:val="18"/>
        <w:szCs w:val="18"/>
      </w:rPr>
      <w:tab/>
    </w:r>
    <w:r w:rsidRPr="00A55C1C">
      <w:rPr>
        <w:sz w:val="18"/>
        <w:szCs w:val="18"/>
      </w:rPr>
      <w:tab/>
    </w:r>
    <w:r w:rsidRPr="00A55C1C">
      <w:rPr>
        <w:sz w:val="18"/>
        <w:szCs w:val="18"/>
      </w:rPr>
      <w:tab/>
    </w:r>
    <w:r w:rsidRPr="00A55C1C">
      <w:rPr>
        <w:sz w:val="18"/>
        <w:szCs w:val="18"/>
      </w:rPr>
      <w:tab/>
    </w:r>
    <w:r w:rsidRPr="00A55C1C">
      <w:rPr>
        <w:sz w:val="18"/>
        <w:szCs w:val="18"/>
      </w:rPr>
      <w:tab/>
    </w:r>
    <w:r w:rsidR="008C5476" w:rsidRPr="00A55C1C">
      <w:rPr>
        <w:sz w:val="18"/>
        <w:szCs w:val="18"/>
      </w:rPr>
      <w:t>VAT / KMKR nr. EE100559406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A64E" w14:textId="77777777" w:rsidR="00A55C1C" w:rsidRPr="00A55C1C" w:rsidRDefault="00A55C1C" w:rsidP="00A55C1C">
    <w:pPr>
      <w:spacing w:after="80"/>
      <w:rPr>
        <w:sz w:val="16"/>
      </w:rPr>
    </w:pPr>
    <w:r w:rsidRPr="00A55C1C">
      <w:rPr>
        <w:noProof/>
        <w:sz w:val="16"/>
      </w:rPr>
      <mc:AlternateContent>
        <mc:Choice Requires="wps">
          <w:drawing>
            <wp:anchor distT="0" distB="0" distL="114300" distR="114300" simplePos="0" relativeHeight="251662336" behindDoc="0" locked="0" layoutInCell="1" allowOverlap="1" wp14:anchorId="73B75E7D" wp14:editId="5CB0E0DD">
              <wp:simplePos x="0" y="0"/>
              <wp:positionH relativeFrom="column">
                <wp:posOffset>-29210</wp:posOffset>
              </wp:positionH>
              <wp:positionV relativeFrom="paragraph">
                <wp:posOffset>52705</wp:posOffset>
              </wp:positionV>
              <wp:extent cx="5705475" cy="0"/>
              <wp:effectExtent l="9525" t="9525" r="9525" b="95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ysClr val="windowText" lastClr="000000">
                            <a:lumMod val="100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44082" id="_x0000_t32" coordsize="21600,21600" o:spt="32" o:oned="t" path="m,l21600,21600e" filled="f">
              <v:path arrowok="t" fillok="f" o:connecttype="none"/>
              <o:lock v:ext="edit" shapetype="t"/>
            </v:shapetype>
            <v:shape id="AutoShape 1" o:spid="_x0000_s1026" type="#_x0000_t32" style="position:absolute;margin-left:-2.3pt;margin-top:4.15pt;width:44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"/>
          </w:pict>
        </mc:Fallback>
      </mc:AlternateContent>
    </w:r>
  </w:p>
  <w:p w14:paraId="54FCC0A6" w14:textId="77777777" w:rsidR="00A55C1C" w:rsidRPr="00A55C1C" w:rsidRDefault="00A55C1C" w:rsidP="00A55C1C">
    <w:pPr>
      <w:spacing w:after="80"/>
      <w:rPr>
        <w:sz w:val="16"/>
      </w:rPr>
    </w:pPr>
    <w:r w:rsidRPr="00A55C1C">
      <w:rPr>
        <w:sz w:val="16"/>
      </w:rPr>
      <w:t>Lille 13</w:t>
    </w:r>
    <w:r w:rsidRPr="00A55C1C">
      <w:rPr>
        <w:sz w:val="16"/>
      </w:rPr>
      <w:tab/>
    </w:r>
    <w:r w:rsidRPr="00A55C1C">
      <w:rPr>
        <w:sz w:val="16"/>
      </w:rPr>
      <w:tab/>
    </w:r>
    <w:r w:rsidRPr="00A55C1C">
      <w:rPr>
        <w:sz w:val="16"/>
      </w:rPr>
      <w:tab/>
    </w:r>
    <w:r w:rsidRPr="00A55C1C">
      <w:rPr>
        <w:sz w:val="16"/>
      </w:rPr>
      <w:tab/>
      <w:t>Tel:</w:t>
    </w:r>
    <w:r w:rsidRPr="00A55C1C">
      <w:rPr>
        <w:sz w:val="16"/>
      </w:rPr>
      <w:tab/>
      <w:t xml:space="preserve">(+372) 6684 360 </w:t>
    </w:r>
    <w:r w:rsidRPr="00A55C1C">
      <w:rPr>
        <w:sz w:val="16"/>
      </w:rPr>
      <w:tab/>
    </w:r>
    <w:r w:rsidRPr="00A55C1C">
      <w:rPr>
        <w:sz w:val="16"/>
      </w:rPr>
      <w:tab/>
      <w:t xml:space="preserve">Pank / Bank: SEB </w:t>
    </w:r>
  </w:p>
  <w:p w14:paraId="7F777C20" w14:textId="77777777" w:rsidR="00A55C1C" w:rsidRPr="00A55C1C" w:rsidRDefault="00A55C1C" w:rsidP="00A55C1C">
    <w:pPr>
      <w:spacing w:after="80"/>
      <w:rPr>
        <w:sz w:val="16"/>
      </w:rPr>
    </w:pPr>
    <w:r w:rsidRPr="00A55C1C">
      <w:rPr>
        <w:sz w:val="16"/>
      </w:rPr>
      <w:t>10614 Tallinn, ESTONIA</w:t>
    </w:r>
    <w:r w:rsidRPr="00A55C1C">
      <w:rPr>
        <w:sz w:val="16"/>
      </w:rPr>
      <w:tab/>
    </w:r>
    <w:r w:rsidRPr="00A55C1C">
      <w:rPr>
        <w:sz w:val="16"/>
      </w:rPr>
      <w:tab/>
      <w:t>Fax:</w:t>
    </w:r>
    <w:r w:rsidRPr="00A55C1C">
      <w:rPr>
        <w:sz w:val="16"/>
      </w:rPr>
      <w:tab/>
      <w:t>(+372) 6684 361</w:t>
    </w:r>
    <w:r w:rsidRPr="00A55C1C">
      <w:rPr>
        <w:sz w:val="16"/>
      </w:rPr>
      <w:tab/>
    </w:r>
    <w:r w:rsidRPr="00A55C1C">
      <w:rPr>
        <w:sz w:val="16"/>
      </w:rPr>
      <w:tab/>
      <w:t>Tornimäe 2, 15010 Tallinn, ESTONIA</w:t>
    </w:r>
  </w:p>
  <w:p w14:paraId="25E1DBA7" w14:textId="77777777" w:rsidR="00A55C1C" w:rsidRPr="00A55C1C" w:rsidRDefault="00A55C1C" w:rsidP="00A55C1C">
    <w:pPr>
      <w:spacing w:after="80"/>
      <w:rPr>
        <w:sz w:val="16"/>
      </w:rPr>
    </w:pPr>
    <w:r w:rsidRPr="00A55C1C">
      <w:rPr>
        <w:sz w:val="16"/>
      </w:rPr>
      <w:t>Reg.nr. 80004182</w:t>
    </w:r>
    <w:r w:rsidRPr="00A55C1C">
      <w:rPr>
        <w:sz w:val="16"/>
      </w:rPr>
      <w:tab/>
    </w:r>
    <w:r w:rsidRPr="00A55C1C">
      <w:rPr>
        <w:sz w:val="16"/>
      </w:rPr>
      <w:tab/>
    </w:r>
    <w:r w:rsidRPr="00A55C1C">
      <w:rPr>
        <w:sz w:val="16"/>
      </w:rPr>
      <w:tab/>
      <w:t>E-mail:</w:t>
    </w:r>
    <w:r w:rsidRPr="00A55C1C">
      <w:rPr>
        <w:sz w:val="16"/>
      </w:rPr>
      <w:tab/>
      <w:t>eau@eau.org</w:t>
    </w:r>
    <w:r w:rsidRPr="00A55C1C">
      <w:rPr>
        <w:sz w:val="16"/>
      </w:rPr>
      <w:tab/>
    </w:r>
    <w:r w:rsidRPr="00A55C1C">
      <w:rPr>
        <w:sz w:val="16"/>
      </w:rPr>
      <w:tab/>
      <w:t>IBAN: EE881010022000085006</w:t>
    </w:r>
  </w:p>
  <w:p w14:paraId="32AAE2AE" w14:textId="3F2AB3E4" w:rsidR="00A55C1C" w:rsidRPr="00E02959" w:rsidRDefault="00A55C1C" w:rsidP="00E02959">
    <w:pPr>
      <w:spacing w:after="80"/>
      <w:rPr>
        <w:sz w:val="16"/>
      </w:rPr>
    </w:pPr>
    <w:r w:rsidRPr="00A55C1C">
      <w:rPr>
        <w:sz w:val="16"/>
      </w:rPr>
      <w:tab/>
    </w:r>
    <w:r w:rsidRPr="00A55C1C">
      <w:rPr>
        <w:sz w:val="16"/>
      </w:rPr>
      <w:tab/>
    </w:r>
    <w:r w:rsidRPr="00A55C1C">
      <w:rPr>
        <w:sz w:val="16"/>
      </w:rPr>
      <w:tab/>
    </w:r>
    <w:r w:rsidRPr="00A55C1C">
      <w:rPr>
        <w:sz w:val="16"/>
      </w:rPr>
      <w:tab/>
    </w:r>
    <w:r w:rsidRPr="00A55C1C">
      <w:rPr>
        <w:sz w:val="16"/>
      </w:rPr>
      <w:tab/>
    </w:r>
    <w:r w:rsidRPr="00A55C1C">
      <w:rPr>
        <w:sz w:val="16"/>
      </w:rPr>
      <w:tab/>
    </w:r>
    <w:r w:rsidRPr="00A55C1C">
      <w:rPr>
        <w:sz w:val="16"/>
      </w:rPr>
      <w:tab/>
    </w:r>
    <w:r w:rsidRPr="00A55C1C">
      <w:rPr>
        <w:sz w:val="16"/>
      </w:rPr>
      <w:tab/>
      <w:t>KMKR nr /VAT. EE100559406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425D" w14:textId="77777777" w:rsidR="002758F3" w:rsidRDefault="002758F3" w:rsidP="00EC2011">
      <w:r>
        <w:separator/>
      </w:r>
    </w:p>
  </w:footnote>
  <w:footnote w:type="continuationSeparator" w:id="0">
    <w:p w14:paraId="1F044DCB" w14:textId="77777777" w:rsidR="002758F3" w:rsidRDefault="002758F3" w:rsidP="00EC2011">
      <w:r>
        <w:continuationSeparator/>
      </w:r>
    </w:p>
  </w:footnote>
  <w:footnote w:id="1">
    <w:p w14:paraId="04851BD6" w14:textId="77777777" w:rsidR="00B55DDB" w:rsidRPr="00435642" w:rsidRDefault="00B55DDB" w:rsidP="00B55DDB">
      <w:pPr>
        <w:pStyle w:val="FootnoteText"/>
        <w:rPr>
          <w:sz w:val="18"/>
          <w:szCs w:val="18"/>
        </w:rPr>
      </w:pPr>
      <w:r w:rsidRPr="00435642">
        <w:rPr>
          <w:rStyle w:val="FootnoteReference"/>
          <w:sz w:val="18"/>
          <w:szCs w:val="18"/>
        </w:rPr>
        <w:footnoteRef/>
      </w:r>
      <w:r w:rsidRPr="00435642">
        <w:rPr>
          <w:sz w:val="18"/>
          <w:szCs w:val="18"/>
        </w:rPr>
        <w:t xml:space="preserve"> Kehtiva </w:t>
      </w:r>
      <w:proofErr w:type="spellStart"/>
      <w:r w:rsidRPr="00435642">
        <w:rPr>
          <w:sz w:val="18"/>
          <w:szCs w:val="18"/>
        </w:rPr>
        <w:t>AutÕS</w:t>
      </w:r>
      <w:proofErr w:type="spellEnd"/>
      <w:r w:rsidRPr="00435642">
        <w:rPr>
          <w:sz w:val="18"/>
          <w:szCs w:val="18"/>
        </w:rPr>
        <w:t xml:space="preserve"> § 27 lg 9 sõnastus „Tasu jagatakse jaotuskava alusel, mille väljatöötamiseks kinnitab valdkonna eest vastutav minister igal aastal komisjoni, kuhu proportsionaalselt kuuluvad autoreid, esitajaid, fonogrammitootjaid ja filmi esmasalvestuse tootjaid esindavad kollektiivse esindamise organisatsioonid ning üks Justiitsministeeriumi esindaja.“</w:t>
      </w:r>
    </w:p>
  </w:footnote>
  <w:footnote w:id="2">
    <w:p w14:paraId="018990C6" w14:textId="77777777" w:rsidR="00B55DDB" w:rsidRPr="00435642" w:rsidRDefault="00B55DDB" w:rsidP="00B55DDB">
      <w:pPr>
        <w:pStyle w:val="FootnoteText"/>
        <w:rPr>
          <w:sz w:val="18"/>
          <w:szCs w:val="18"/>
        </w:rPr>
      </w:pPr>
      <w:r w:rsidRPr="00435642">
        <w:rPr>
          <w:rStyle w:val="FootnoteReference"/>
          <w:sz w:val="18"/>
          <w:szCs w:val="18"/>
        </w:rPr>
        <w:footnoteRef/>
      </w:r>
      <w:r w:rsidRPr="00435642">
        <w:rPr>
          <w:sz w:val="18"/>
          <w:szCs w:val="18"/>
        </w:rPr>
        <w:t xml:space="preserve"> </w:t>
      </w:r>
      <w:r w:rsidRPr="00435642">
        <w:rPr>
          <w:sz w:val="18"/>
          <w:szCs w:val="18"/>
        </w:rPr>
        <w:t>Vt VTK lk.2.</w:t>
      </w:r>
    </w:p>
  </w:footnote>
  <w:footnote w:id="3">
    <w:p w14:paraId="1583BFF8" w14:textId="77777777" w:rsidR="00B55DDB" w:rsidRPr="00435642" w:rsidRDefault="00B55DDB" w:rsidP="00B55DDB">
      <w:pPr>
        <w:pStyle w:val="FootnoteText"/>
        <w:rPr>
          <w:sz w:val="18"/>
          <w:szCs w:val="18"/>
        </w:rPr>
      </w:pPr>
      <w:r w:rsidRPr="00435642">
        <w:rPr>
          <w:rStyle w:val="FootnoteReference"/>
          <w:sz w:val="18"/>
          <w:szCs w:val="18"/>
        </w:rPr>
        <w:footnoteRef/>
      </w:r>
      <w:r w:rsidRPr="00435642">
        <w:rPr>
          <w:sz w:val="18"/>
          <w:szCs w:val="18"/>
        </w:rPr>
        <w:t xml:space="preserve"> </w:t>
      </w:r>
      <w:r w:rsidRPr="00435642">
        <w:rPr>
          <w:sz w:val="18"/>
          <w:szCs w:val="18"/>
        </w:rPr>
        <w:t xml:space="preserve">Näiteks võib vaidlusi tekitada olukord, kus kui Patendiameti tunnustamise nõue on sätestatud ainult seletuskirjas, mitte seaduses või kui mingi MTÜ vaidlustab Patendiameti otsuse teda </w:t>
      </w:r>
      <w:proofErr w:type="spellStart"/>
      <w:r w:rsidRPr="00435642">
        <w:rPr>
          <w:sz w:val="18"/>
          <w:szCs w:val="18"/>
        </w:rPr>
        <w:t>KEO-na</w:t>
      </w:r>
      <w:proofErr w:type="spellEnd"/>
      <w:r w:rsidRPr="00435642">
        <w:rPr>
          <w:sz w:val="18"/>
          <w:szCs w:val="18"/>
        </w:rPr>
        <w:t xml:space="preserve"> mitte tunnustada. </w:t>
      </w:r>
    </w:p>
  </w:footnote>
  <w:footnote w:id="4">
    <w:p w14:paraId="0C1A82DF" w14:textId="77777777" w:rsidR="00B55DDB" w:rsidRPr="00435642" w:rsidRDefault="00B55DDB" w:rsidP="00B55DDB">
      <w:pPr>
        <w:pStyle w:val="FootnoteText"/>
        <w:rPr>
          <w:sz w:val="18"/>
          <w:szCs w:val="18"/>
        </w:rPr>
      </w:pPr>
      <w:r w:rsidRPr="00435642">
        <w:rPr>
          <w:rStyle w:val="FootnoteReference"/>
          <w:sz w:val="18"/>
          <w:szCs w:val="18"/>
        </w:rPr>
        <w:footnoteRef/>
      </w:r>
      <w:r w:rsidRPr="00435642">
        <w:rPr>
          <w:sz w:val="18"/>
          <w:szCs w:val="18"/>
        </w:rPr>
        <w:t xml:space="preserve"> </w:t>
      </w:r>
      <w:r w:rsidRPr="00435642">
        <w:rPr>
          <w:sz w:val="18"/>
          <w:szCs w:val="18"/>
        </w:rPr>
        <w:t>Vt VTK lk. 2.</w:t>
      </w:r>
    </w:p>
  </w:footnote>
  <w:footnote w:id="5">
    <w:p w14:paraId="701B61A0" w14:textId="77777777" w:rsidR="00B55DDB" w:rsidRPr="00435642" w:rsidRDefault="00B55DDB" w:rsidP="00B55DDB">
      <w:pPr>
        <w:pStyle w:val="FootnoteText"/>
        <w:rPr>
          <w:sz w:val="18"/>
          <w:szCs w:val="18"/>
        </w:rPr>
      </w:pPr>
      <w:r w:rsidRPr="00435642">
        <w:rPr>
          <w:rStyle w:val="FootnoteReference"/>
          <w:sz w:val="18"/>
          <w:szCs w:val="18"/>
        </w:rPr>
        <w:footnoteRef/>
      </w:r>
      <w:r w:rsidRPr="00435642">
        <w:rPr>
          <w:sz w:val="18"/>
          <w:szCs w:val="18"/>
        </w:rPr>
        <w:t xml:space="preserve"> </w:t>
      </w:r>
      <w:r w:rsidRPr="00435642">
        <w:rPr>
          <w:sz w:val="18"/>
          <w:szCs w:val="18"/>
        </w:rPr>
        <w:t>Praegu kuuluvad justiitsministri käskkirja alusel autoriõiguse komisjoni järgmiste organisatsioonide esindajad: Patendiamet, Kultuuriministeerium, Justiitsministeerium, Eesti Advokatuuri intellektuaalse omandi ja IT-õiguse komisjon, Eesti Autorite Ühing, Eesti Autoriõiguste Kaitse Organisatsioon, Eesti Fonogrammitootjate Ühing, Eesti Infotehnoloogia ja Telekommunikatsiooni Liit, Eesti Rahvusringhääling, Eesti Esitajate Liit, Eesti Kultuuri Koda, Eesti Filmi Instituut, Tartu Ülikooli õigusteaduskond.</w:t>
      </w:r>
    </w:p>
  </w:footnote>
  <w:footnote w:id="6">
    <w:p w14:paraId="154C77D9" w14:textId="77777777" w:rsidR="007436B7" w:rsidRDefault="007436B7" w:rsidP="007436B7">
      <w:pPr>
        <w:pStyle w:val="FootnoteText"/>
      </w:pPr>
      <w:r>
        <w:rPr>
          <w:rStyle w:val="FootnoteReference"/>
        </w:rPr>
        <w:footnoteRef/>
      </w:r>
      <w:r>
        <w:t xml:space="preserve"> </w:t>
      </w:r>
      <w:proofErr w:type="spellStart"/>
      <w:r w:rsidRPr="00DB7391">
        <w:rPr>
          <w:sz w:val="18"/>
          <w:szCs w:val="18"/>
        </w:rPr>
        <w:t>AutÕS</w:t>
      </w:r>
      <w:proofErr w:type="spellEnd"/>
      <w:r w:rsidRPr="00DB7391">
        <w:rPr>
          <w:sz w:val="18"/>
          <w:szCs w:val="18"/>
        </w:rPr>
        <w:t xml:space="preserve"> § 27 lõikes 11 on sätestatud, et „Valdkonna eest vastutav minister kinnitab </w:t>
      </w:r>
      <w:r w:rsidRPr="00DB7391">
        <w:rPr>
          <w:sz w:val="18"/>
          <w:szCs w:val="18"/>
          <w:u w:val="single"/>
        </w:rPr>
        <w:t>hiljemalt kolm kuud</w:t>
      </w:r>
      <w:r w:rsidRPr="00DB7391">
        <w:rPr>
          <w:sz w:val="18"/>
          <w:szCs w:val="18"/>
        </w:rPr>
        <w:t xml:space="preserve"> pärast eelarveaasta lõppu jaotuskava, olles selle eelnevalt kooskõlastanud autorite, esitajate, fonogrammitootjate ja filmi esmasalvestuse tootjate esindajatega.“</w:t>
      </w:r>
    </w:p>
  </w:footnote>
  <w:footnote w:id="7">
    <w:p w14:paraId="300D42AB" w14:textId="77777777" w:rsidR="00FB17E6" w:rsidRDefault="00FB17E6" w:rsidP="00FB17E6">
      <w:pPr>
        <w:pStyle w:val="FootnoteText"/>
      </w:pPr>
      <w:r>
        <w:rPr>
          <w:rStyle w:val="FootnoteReference"/>
        </w:rPr>
        <w:footnoteRef/>
      </w:r>
      <w:r>
        <w:t xml:space="preserve"> </w:t>
      </w:r>
      <w:r>
        <w:t xml:space="preserve">Kättesaadav JM kodulehel avaldatud uuringute all: </w:t>
      </w:r>
      <w:hyperlink r:id="rId1" w:history="1">
        <w:r w:rsidRPr="00F613B0">
          <w:rPr>
            <w:rStyle w:val="Hyperlink"/>
          </w:rPr>
          <w:t>https://www.just.ee/uuringud</w:t>
        </w:r>
      </w:hyperlink>
    </w:p>
  </w:footnote>
  <w:footnote w:id="8">
    <w:p w14:paraId="03115DBA" w14:textId="77777777" w:rsidR="00435642" w:rsidRPr="006364C7" w:rsidRDefault="00435642" w:rsidP="00435642">
      <w:pPr>
        <w:pStyle w:val="FootnoteText"/>
        <w:rPr>
          <w:sz w:val="18"/>
          <w:szCs w:val="18"/>
        </w:rPr>
      </w:pPr>
      <w:r w:rsidRPr="006364C7">
        <w:rPr>
          <w:rStyle w:val="FootnoteReference"/>
          <w:sz w:val="18"/>
          <w:szCs w:val="18"/>
        </w:rPr>
        <w:footnoteRef/>
      </w:r>
      <w:r w:rsidRPr="006364C7">
        <w:rPr>
          <w:sz w:val="18"/>
          <w:szCs w:val="18"/>
        </w:rPr>
        <w:t xml:space="preserve"> </w:t>
      </w:r>
      <w:r w:rsidRPr="006364C7">
        <w:rPr>
          <w:sz w:val="18"/>
          <w:szCs w:val="18"/>
        </w:rPr>
        <w:t xml:space="preserve">Vastav </w:t>
      </w:r>
      <w:proofErr w:type="spellStart"/>
      <w:r w:rsidRPr="006364C7">
        <w:rPr>
          <w:sz w:val="18"/>
          <w:szCs w:val="18"/>
        </w:rPr>
        <w:t>ühispöördumine</w:t>
      </w:r>
      <w:proofErr w:type="spellEnd"/>
      <w:r w:rsidRPr="006364C7">
        <w:rPr>
          <w:sz w:val="18"/>
          <w:szCs w:val="18"/>
        </w:rPr>
        <w:t xml:space="preserve"> on kättesaadav JM dokumendiregistrist: </w:t>
      </w:r>
      <w:hyperlink r:id="rId2" w:history="1">
        <w:r w:rsidRPr="006364C7">
          <w:rPr>
            <w:rStyle w:val="Hyperlink"/>
            <w:sz w:val="18"/>
            <w:szCs w:val="18"/>
          </w:rPr>
          <w:t>https://adr.rik.ee/jm/dokument/12581788</w:t>
        </w:r>
      </w:hyperlink>
    </w:p>
    <w:p w14:paraId="4C456077" w14:textId="77777777" w:rsidR="00435642" w:rsidRDefault="00435642" w:rsidP="0043564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303217"/>
      <w:docPartObj>
        <w:docPartGallery w:val="Page Numbers (Top of Page)"/>
        <w:docPartUnique/>
      </w:docPartObj>
    </w:sdtPr>
    <w:sdtContent>
      <w:p w14:paraId="53ED51E3" w14:textId="255791B7" w:rsidR="00F3688C" w:rsidRDefault="00F3688C">
        <w:pPr>
          <w:pStyle w:val="Header"/>
          <w:jc w:val="right"/>
        </w:pPr>
        <w:r>
          <w:fldChar w:fldCharType="begin"/>
        </w:r>
        <w:r>
          <w:instrText>PAGE   \* MERGEFORMAT</w:instrText>
        </w:r>
        <w:r>
          <w:fldChar w:fldCharType="separate"/>
        </w:r>
        <w:r>
          <w:t>2</w:t>
        </w:r>
        <w:r>
          <w:fldChar w:fldCharType="end"/>
        </w:r>
      </w:p>
    </w:sdtContent>
  </w:sdt>
  <w:p w14:paraId="766F4B2A" w14:textId="77777777" w:rsidR="00F3688C" w:rsidRDefault="00F36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BF23" w14:textId="6C954513" w:rsidR="00A55C1C" w:rsidRDefault="00A55C1C">
    <w:pPr>
      <w:pStyle w:val="Header"/>
    </w:pPr>
  </w:p>
  <w:p w14:paraId="0333FC2D" w14:textId="3587D341" w:rsidR="00A55C1C" w:rsidRDefault="005B054E">
    <w:pPr>
      <w:pStyle w:val="Header"/>
    </w:pPr>
    <w:r w:rsidRPr="00EE2837">
      <w:rPr>
        <w:noProof/>
      </w:rPr>
      <w:drawing>
        <wp:anchor distT="0" distB="0" distL="114300" distR="114300" simplePos="0" relativeHeight="251660288" behindDoc="0" locked="0" layoutInCell="1" allowOverlap="1" wp14:anchorId="45A684C5" wp14:editId="055182D9">
          <wp:simplePos x="0" y="0"/>
          <wp:positionH relativeFrom="margin">
            <wp:align>left</wp:align>
          </wp:positionH>
          <wp:positionV relativeFrom="margin">
            <wp:posOffset>-238125</wp:posOffset>
          </wp:positionV>
          <wp:extent cx="1555200" cy="723600"/>
          <wp:effectExtent l="0" t="0" r="6985" b="635"/>
          <wp:wrapSquare wrapText="bothSides"/>
          <wp:docPr id="11" name="Picture 1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52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3BE"/>
    <w:multiLevelType w:val="hybridMultilevel"/>
    <w:tmpl w:val="5BC869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489544DD"/>
    <w:multiLevelType w:val="hybridMultilevel"/>
    <w:tmpl w:val="15B6654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673E0BCB"/>
    <w:multiLevelType w:val="hybridMultilevel"/>
    <w:tmpl w:val="150255D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69B644F1"/>
    <w:multiLevelType w:val="hybridMultilevel"/>
    <w:tmpl w:val="2932BC26"/>
    <w:lvl w:ilvl="0" w:tplc="E25463E2">
      <w:start w:val="2"/>
      <w:numFmt w:val="bullet"/>
      <w:lvlText w:val="-"/>
      <w:lvlJc w:val="left"/>
      <w:pPr>
        <w:ind w:left="720" w:hanging="360"/>
      </w:pPr>
      <w:rPr>
        <w:rFonts w:ascii="Roboto" w:eastAsiaTheme="minorHAnsi" w:hAnsi="Roboto"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79137282">
    <w:abstractNumId w:val="3"/>
  </w:num>
  <w:num w:numId="2" w16cid:durableId="1391147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8584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4495606">
    <w:abstractNumId w:val="0"/>
  </w:num>
  <w:num w:numId="5" w16cid:durableId="1387558818">
    <w:abstractNumId w:val="1"/>
  </w:num>
  <w:num w:numId="6" w16cid:durableId="977994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6A"/>
    <w:rsid w:val="00006E29"/>
    <w:rsid w:val="000228E8"/>
    <w:rsid w:val="000678C4"/>
    <w:rsid w:val="00083FE6"/>
    <w:rsid w:val="000A2682"/>
    <w:rsid w:val="000A40E3"/>
    <w:rsid w:val="000E5CB3"/>
    <w:rsid w:val="000F7921"/>
    <w:rsid w:val="00124304"/>
    <w:rsid w:val="00132526"/>
    <w:rsid w:val="0015698F"/>
    <w:rsid w:val="00183226"/>
    <w:rsid w:val="001A3B5A"/>
    <w:rsid w:val="001B3E8D"/>
    <w:rsid w:val="001D2CB1"/>
    <w:rsid w:val="001F667F"/>
    <w:rsid w:val="001F7EB6"/>
    <w:rsid w:val="002057BD"/>
    <w:rsid w:val="00207C13"/>
    <w:rsid w:val="00236C2F"/>
    <w:rsid w:val="00261E07"/>
    <w:rsid w:val="002758F3"/>
    <w:rsid w:val="00283EC4"/>
    <w:rsid w:val="00293036"/>
    <w:rsid w:val="003158B7"/>
    <w:rsid w:val="0034348D"/>
    <w:rsid w:val="0035737B"/>
    <w:rsid w:val="00360BA8"/>
    <w:rsid w:val="00367A46"/>
    <w:rsid w:val="003853CA"/>
    <w:rsid w:val="003A2CAE"/>
    <w:rsid w:val="003B6F84"/>
    <w:rsid w:val="003C23EE"/>
    <w:rsid w:val="003F4EDA"/>
    <w:rsid w:val="003F6612"/>
    <w:rsid w:val="00415160"/>
    <w:rsid w:val="004270B2"/>
    <w:rsid w:val="00435642"/>
    <w:rsid w:val="00436BA0"/>
    <w:rsid w:val="00471546"/>
    <w:rsid w:val="00482902"/>
    <w:rsid w:val="004A11E1"/>
    <w:rsid w:val="004A4B53"/>
    <w:rsid w:val="004D671A"/>
    <w:rsid w:val="005057EA"/>
    <w:rsid w:val="00582189"/>
    <w:rsid w:val="0059582A"/>
    <w:rsid w:val="00595E23"/>
    <w:rsid w:val="005B054E"/>
    <w:rsid w:val="005C0ADA"/>
    <w:rsid w:val="006364C7"/>
    <w:rsid w:val="00645DBD"/>
    <w:rsid w:val="00675E96"/>
    <w:rsid w:val="00696123"/>
    <w:rsid w:val="006A77B1"/>
    <w:rsid w:val="006E6361"/>
    <w:rsid w:val="006F38DB"/>
    <w:rsid w:val="00713414"/>
    <w:rsid w:val="007436B7"/>
    <w:rsid w:val="0076628D"/>
    <w:rsid w:val="00785B2E"/>
    <w:rsid w:val="00794C5A"/>
    <w:rsid w:val="007A2E58"/>
    <w:rsid w:val="007C058C"/>
    <w:rsid w:val="007D6BDA"/>
    <w:rsid w:val="00863C2B"/>
    <w:rsid w:val="008B3219"/>
    <w:rsid w:val="008C5476"/>
    <w:rsid w:val="008D1BCA"/>
    <w:rsid w:val="00926539"/>
    <w:rsid w:val="009302DA"/>
    <w:rsid w:val="00933EF9"/>
    <w:rsid w:val="009372AD"/>
    <w:rsid w:val="00952ECE"/>
    <w:rsid w:val="009727D0"/>
    <w:rsid w:val="0098243B"/>
    <w:rsid w:val="009828AF"/>
    <w:rsid w:val="00992758"/>
    <w:rsid w:val="009B385B"/>
    <w:rsid w:val="009E31F6"/>
    <w:rsid w:val="009E3B1F"/>
    <w:rsid w:val="009F4168"/>
    <w:rsid w:val="00A04E00"/>
    <w:rsid w:val="00A22A57"/>
    <w:rsid w:val="00A26E08"/>
    <w:rsid w:val="00A33151"/>
    <w:rsid w:val="00A55C1C"/>
    <w:rsid w:val="00AC16B9"/>
    <w:rsid w:val="00AC279D"/>
    <w:rsid w:val="00AF6B40"/>
    <w:rsid w:val="00AF7866"/>
    <w:rsid w:val="00B23145"/>
    <w:rsid w:val="00B533C2"/>
    <w:rsid w:val="00B55DDB"/>
    <w:rsid w:val="00B92EE6"/>
    <w:rsid w:val="00C1204C"/>
    <w:rsid w:val="00C42235"/>
    <w:rsid w:val="00C464C6"/>
    <w:rsid w:val="00C5434D"/>
    <w:rsid w:val="00C70C1E"/>
    <w:rsid w:val="00CE1740"/>
    <w:rsid w:val="00CE33CC"/>
    <w:rsid w:val="00CE7AFF"/>
    <w:rsid w:val="00D035FF"/>
    <w:rsid w:val="00D40670"/>
    <w:rsid w:val="00D50D8F"/>
    <w:rsid w:val="00DA03F1"/>
    <w:rsid w:val="00DD0654"/>
    <w:rsid w:val="00DD1352"/>
    <w:rsid w:val="00DD199D"/>
    <w:rsid w:val="00DD26F4"/>
    <w:rsid w:val="00DD74D4"/>
    <w:rsid w:val="00DE6CAF"/>
    <w:rsid w:val="00E02959"/>
    <w:rsid w:val="00E1569C"/>
    <w:rsid w:val="00E32760"/>
    <w:rsid w:val="00E34057"/>
    <w:rsid w:val="00E9626A"/>
    <w:rsid w:val="00EB6138"/>
    <w:rsid w:val="00EC2011"/>
    <w:rsid w:val="00EE7834"/>
    <w:rsid w:val="00F3688C"/>
    <w:rsid w:val="00F37C3E"/>
    <w:rsid w:val="00F44A80"/>
    <w:rsid w:val="00F538FF"/>
    <w:rsid w:val="00F74158"/>
    <w:rsid w:val="00FB17E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BD503"/>
  <w15:chartTrackingRefBased/>
  <w15:docId w15:val="{019FE520-ABDA-4335-882A-8FD3B6B4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71A"/>
    <w:pPr>
      <w:spacing w:after="200" w:line="276" w:lineRule="auto"/>
      <w:jc w:val="both"/>
    </w:pPr>
    <w:rPr>
      <w:rFonts w:ascii="Roboto" w:hAnsi="Roboto"/>
      <w:szCs w:val="24"/>
      <w:lang w:eastAsia="en-US"/>
    </w:rPr>
  </w:style>
  <w:style w:type="paragraph" w:styleId="Heading1">
    <w:name w:val="heading 1"/>
    <w:next w:val="Normal"/>
    <w:qFormat/>
    <w:rsid w:val="00D50D8F"/>
    <w:pPr>
      <w:keepNext/>
      <w:spacing w:after="200" w:line="276" w:lineRule="auto"/>
      <w:outlineLvl w:val="0"/>
    </w:pPr>
    <w:rPr>
      <w:rFonts w:ascii="Roboto" w:hAnsi="Roboto"/>
      <w:b/>
      <w:bCs/>
      <w:szCs w:val="24"/>
      <w:lang w:eastAsia="en-US"/>
    </w:rPr>
  </w:style>
  <w:style w:type="paragraph" w:styleId="Heading2">
    <w:name w:val="heading 2"/>
    <w:next w:val="Normal"/>
    <w:link w:val="Heading2Char"/>
    <w:uiPriority w:val="9"/>
    <w:unhideWhenUsed/>
    <w:qFormat/>
    <w:rsid w:val="00D50D8F"/>
    <w:pPr>
      <w:keepNext/>
      <w:keepLines/>
      <w:spacing w:after="200" w:line="276" w:lineRule="auto"/>
      <w:outlineLvl w:val="1"/>
    </w:pPr>
    <w:rPr>
      <w:rFonts w:ascii="Roboto" w:eastAsiaTheme="majorEastAsia" w:hAnsi="Roboto" w:cstheme="majorBidi"/>
      <w:b/>
      <w:szCs w:val="26"/>
      <w:lang w:eastAsia="en-US"/>
    </w:rPr>
  </w:style>
  <w:style w:type="paragraph" w:styleId="Heading3">
    <w:name w:val="heading 3"/>
    <w:next w:val="Normal"/>
    <w:link w:val="Heading3Char"/>
    <w:uiPriority w:val="9"/>
    <w:unhideWhenUsed/>
    <w:qFormat/>
    <w:rsid w:val="00D50D8F"/>
    <w:pPr>
      <w:keepNext/>
      <w:keepLines/>
      <w:spacing w:after="200" w:line="276" w:lineRule="auto"/>
      <w:outlineLvl w:val="2"/>
    </w:pPr>
    <w:rPr>
      <w:rFonts w:ascii="Roboto" w:eastAsiaTheme="majorEastAsia" w:hAnsi="Roboto" w:cstheme="majorBidi"/>
      <w:szCs w:val="24"/>
      <w:lang w:eastAsia="en-US"/>
    </w:rPr>
  </w:style>
  <w:style w:type="paragraph" w:styleId="Heading4">
    <w:name w:val="heading 4"/>
    <w:next w:val="Normal"/>
    <w:link w:val="Heading4Char"/>
    <w:uiPriority w:val="9"/>
    <w:semiHidden/>
    <w:unhideWhenUsed/>
    <w:qFormat/>
    <w:rsid w:val="00D50D8F"/>
    <w:pPr>
      <w:keepNext/>
      <w:keepLines/>
      <w:spacing w:after="200" w:line="276" w:lineRule="auto"/>
      <w:outlineLvl w:val="3"/>
    </w:pPr>
    <w:rPr>
      <w:rFonts w:ascii="Roboto" w:eastAsiaTheme="majorEastAsia" w:hAnsi="Roboto" w:cstheme="majorBid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0"/>
    </w:rPr>
  </w:style>
  <w:style w:type="character" w:styleId="FootnoteReference">
    <w:name w:val="footnote reference"/>
    <w:uiPriority w:val="99"/>
    <w:semiHidden/>
    <w:rPr>
      <w:vertAlign w:val="superscript"/>
    </w:rPr>
  </w:style>
  <w:style w:type="paragraph" w:styleId="Caption">
    <w:name w:val="caption"/>
    <w:basedOn w:val="Normal"/>
    <w:next w:val="Normal"/>
    <w:rsid w:val="00D40670"/>
    <w:rPr>
      <w:b/>
      <w:bCs/>
      <w:szCs w:val="20"/>
    </w:rPr>
  </w:style>
  <w:style w:type="character" w:styleId="Hyperlink">
    <w:name w:val="Hyperlink"/>
    <w:semiHidden/>
    <w:rPr>
      <w:color w:val="0000FF"/>
      <w:u w:val="single"/>
    </w:rPr>
  </w:style>
  <w:style w:type="paragraph" w:styleId="BodyText">
    <w:name w:val="Body Text"/>
    <w:basedOn w:val="Normal"/>
    <w:semiHidden/>
    <w:rPr>
      <w:sz w:val="16"/>
    </w:rPr>
  </w:style>
  <w:style w:type="paragraph" w:styleId="Header">
    <w:name w:val="header"/>
    <w:basedOn w:val="Normal"/>
    <w:link w:val="HeaderChar"/>
    <w:uiPriority w:val="99"/>
    <w:unhideWhenUsed/>
    <w:rsid w:val="00EC2011"/>
    <w:pPr>
      <w:tabs>
        <w:tab w:val="center" w:pos="4536"/>
        <w:tab w:val="right" w:pos="9072"/>
      </w:tabs>
    </w:pPr>
  </w:style>
  <w:style w:type="character" w:customStyle="1" w:styleId="HeaderChar">
    <w:name w:val="Header Char"/>
    <w:basedOn w:val="DefaultParagraphFont"/>
    <w:link w:val="Header"/>
    <w:uiPriority w:val="99"/>
    <w:rsid w:val="00EC2011"/>
    <w:rPr>
      <w:sz w:val="24"/>
      <w:szCs w:val="24"/>
      <w:lang w:eastAsia="en-US"/>
    </w:rPr>
  </w:style>
  <w:style w:type="paragraph" w:styleId="Footer">
    <w:name w:val="footer"/>
    <w:basedOn w:val="Normal"/>
    <w:link w:val="FooterChar"/>
    <w:uiPriority w:val="99"/>
    <w:unhideWhenUsed/>
    <w:rsid w:val="00EC2011"/>
    <w:pPr>
      <w:tabs>
        <w:tab w:val="center" w:pos="4536"/>
        <w:tab w:val="right" w:pos="9072"/>
      </w:tabs>
    </w:pPr>
  </w:style>
  <w:style w:type="character" w:customStyle="1" w:styleId="FooterChar">
    <w:name w:val="Footer Char"/>
    <w:basedOn w:val="DefaultParagraphFont"/>
    <w:link w:val="Footer"/>
    <w:uiPriority w:val="99"/>
    <w:rsid w:val="00EC2011"/>
    <w:rPr>
      <w:sz w:val="24"/>
      <w:szCs w:val="24"/>
      <w:lang w:eastAsia="en-US"/>
    </w:rPr>
  </w:style>
  <w:style w:type="character" w:styleId="Emphasis">
    <w:name w:val="Emphasis"/>
    <w:basedOn w:val="DefaultParagraphFont"/>
    <w:uiPriority w:val="20"/>
    <w:rsid w:val="009E3B1F"/>
    <w:rPr>
      <w:rFonts w:ascii="Roboto" w:hAnsi="Roboto"/>
      <w:i/>
      <w:iCs/>
    </w:rPr>
  </w:style>
  <w:style w:type="character" w:customStyle="1" w:styleId="Heading2Char">
    <w:name w:val="Heading 2 Char"/>
    <w:basedOn w:val="DefaultParagraphFont"/>
    <w:link w:val="Heading2"/>
    <w:uiPriority w:val="9"/>
    <w:rsid w:val="00D50D8F"/>
    <w:rPr>
      <w:rFonts w:ascii="Roboto" w:eastAsiaTheme="majorEastAsia" w:hAnsi="Roboto" w:cstheme="majorBidi"/>
      <w:b/>
      <w:szCs w:val="26"/>
      <w:lang w:eastAsia="en-US"/>
    </w:rPr>
  </w:style>
  <w:style w:type="paragraph" w:styleId="Title">
    <w:name w:val="Title"/>
    <w:next w:val="Normal"/>
    <w:link w:val="TitleChar"/>
    <w:uiPriority w:val="10"/>
    <w:qFormat/>
    <w:rsid w:val="00D50D8F"/>
    <w:pPr>
      <w:spacing w:after="200" w:line="276" w:lineRule="auto"/>
      <w:contextualSpacing/>
      <w:jc w:val="center"/>
    </w:pPr>
    <w:rPr>
      <w:rFonts w:ascii="Roboto" w:eastAsiaTheme="majorEastAsia" w:hAnsi="Roboto" w:cstheme="majorBidi"/>
      <w:b/>
      <w:spacing w:val="-10"/>
      <w:kern w:val="28"/>
      <w:sz w:val="26"/>
      <w:szCs w:val="56"/>
      <w:lang w:eastAsia="en-US"/>
    </w:rPr>
  </w:style>
  <w:style w:type="character" w:customStyle="1" w:styleId="TitleChar">
    <w:name w:val="Title Char"/>
    <w:basedOn w:val="DefaultParagraphFont"/>
    <w:link w:val="Title"/>
    <w:uiPriority w:val="10"/>
    <w:rsid w:val="00D50D8F"/>
    <w:rPr>
      <w:rFonts w:ascii="Roboto" w:eastAsiaTheme="majorEastAsia" w:hAnsi="Roboto" w:cstheme="majorBidi"/>
      <w:b/>
      <w:spacing w:val="-10"/>
      <w:kern w:val="28"/>
      <w:sz w:val="26"/>
      <w:szCs w:val="56"/>
      <w:lang w:eastAsia="en-US"/>
    </w:rPr>
  </w:style>
  <w:style w:type="paragraph" w:styleId="Subtitle">
    <w:name w:val="Subtitle"/>
    <w:basedOn w:val="Normal"/>
    <w:next w:val="Normal"/>
    <w:link w:val="SubtitleChar"/>
    <w:uiPriority w:val="11"/>
    <w:rsid w:val="009E3B1F"/>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E3B1F"/>
    <w:rPr>
      <w:rFonts w:ascii="Roboto" w:eastAsiaTheme="minorEastAsia" w:hAnsi="Roboto" w:cstheme="minorBidi"/>
      <w:color w:val="5A5A5A" w:themeColor="text1" w:themeTint="A5"/>
      <w:spacing w:val="15"/>
      <w:sz w:val="22"/>
      <w:szCs w:val="22"/>
      <w:lang w:eastAsia="en-US"/>
    </w:rPr>
  </w:style>
  <w:style w:type="character" w:styleId="SubtleEmphasis">
    <w:name w:val="Subtle Emphasis"/>
    <w:basedOn w:val="DefaultParagraphFont"/>
    <w:uiPriority w:val="19"/>
    <w:rsid w:val="009E3B1F"/>
    <w:rPr>
      <w:rFonts w:ascii="Roboto" w:hAnsi="Roboto"/>
      <w:i/>
      <w:iCs/>
      <w:color w:val="404040" w:themeColor="text1" w:themeTint="BF"/>
    </w:rPr>
  </w:style>
  <w:style w:type="character" w:styleId="IntenseEmphasis">
    <w:name w:val="Intense Emphasis"/>
    <w:basedOn w:val="DefaultParagraphFont"/>
    <w:uiPriority w:val="21"/>
    <w:rsid w:val="009E3B1F"/>
    <w:rPr>
      <w:rFonts w:ascii="Roboto" w:hAnsi="Roboto"/>
      <w:i/>
      <w:iCs/>
      <w:color w:val="4472C4" w:themeColor="accent1"/>
    </w:rPr>
  </w:style>
  <w:style w:type="character" w:styleId="Strong">
    <w:name w:val="Strong"/>
    <w:basedOn w:val="DefaultParagraphFont"/>
    <w:uiPriority w:val="22"/>
    <w:rsid w:val="009E3B1F"/>
    <w:rPr>
      <w:rFonts w:ascii="Roboto" w:hAnsi="Roboto"/>
      <w:b/>
      <w:bCs/>
    </w:rPr>
  </w:style>
  <w:style w:type="character" w:styleId="SubtleReference">
    <w:name w:val="Subtle Reference"/>
    <w:basedOn w:val="DefaultParagraphFont"/>
    <w:uiPriority w:val="31"/>
    <w:rsid w:val="009E3B1F"/>
    <w:rPr>
      <w:rFonts w:ascii="Roboto" w:hAnsi="Roboto"/>
      <w:smallCaps/>
      <w:color w:val="5A5A5A" w:themeColor="text1" w:themeTint="A5"/>
    </w:rPr>
  </w:style>
  <w:style w:type="character" w:styleId="IntenseReference">
    <w:name w:val="Intense Reference"/>
    <w:basedOn w:val="DefaultParagraphFont"/>
    <w:uiPriority w:val="32"/>
    <w:rsid w:val="009E3B1F"/>
    <w:rPr>
      <w:rFonts w:ascii="Roboto" w:hAnsi="Roboto"/>
      <w:b/>
      <w:bCs/>
      <w:smallCaps/>
      <w:color w:val="4472C4" w:themeColor="accent1"/>
      <w:spacing w:val="5"/>
    </w:rPr>
  </w:style>
  <w:style w:type="character" w:styleId="BookTitle">
    <w:name w:val="Book Title"/>
    <w:basedOn w:val="DefaultParagraphFont"/>
    <w:uiPriority w:val="33"/>
    <w:rsid w:val="009E3B1F"/>
    <w:rPr>
      <w:rFonts w:ascii="Roboto" w:hAnsi="Roboto"/>
      <w:b/>
      <w:bCs/>
      <w:i/>
      <w:iCs/>
      <w:spacing w:val="5"/>
    </w:rPr>
  </w:style>
  <w:style w:type="paragraph" w:styleId="ListParagraph">
    <w:name w:val="List Paragraph"/>
    <w:basedOn w:val="Normal"/>
    <w:uiPriority w:val="34"/>
    <w:rsid w:val="009E3B1F"/>
    <w:pPr>
      <w:ind w:left="720"/>
      <w:contextualSpacing/>
    </w:pPr>
  </w:style>
  <w:style w:type="character" w:customStyle="1" w:styleId="Heading3Char">
    <w:name w:val="Heading 3 Char"/>
    <w:basedOn w:val="DefaultParagraphFont"/>
    <w:link w:val="Heading3"/>
    <w:uiPriority w:val="9"/>
    <w:rsid w:val="00D50D8F"/>
    <w:rPr>
      <w:rFonts w:ascii="Roboto" w:eastAsiaTheme="majorEastAsia" w:hAnsi="Roboto" w:cstheme="majorBidi"/>
      <w:szCs w:val="24"/>
      <w:lang w:eastAsia="en-US"/>
    </w:rPr>
  </w:style>
  <w:style w:type="character" w:customStyle="1" w:styleId="Heading4Char">
    <w:name w:val="Heading 4 Char"/>
    <w:basedOn w:val="DefaultParagraphFont"/>
    <w:link w:val="Heading4"/>
    <w:uiPriority w:val="9"/>
    <w:semiHidden/>
    <w:rsid w:val="00D50D8F"/>
    <w:rPr>
      <w:rFonts w:ascii="Roboto" w:eastAsiaTheme="majorEastAsia" w:hAnsi="Roboto" w:cstheme="majorBidi"/>
      <w:iCs/>
      <w:szCs w:val="24"/>
      <w:lang w:eastAsia="en-US"/>
    </w:rPr>
  </w:style>
  <w:style w:type="character" w:styleId="UnresolvedMention">
    <w:name w:val="Unresolved Mention"/>
    <w:basedOn w:val="DefaultParagraphFont"/>
    <w:uiPriority w:val="99"/>
    <w:semiHidden/>
    <w:unhideWhenUsed/>
    <w:rsid w:val="008C5476"/>
    <w:rPr>
      <w:color w:val="605E5C"/>
      <w:shd w:val="clear" w:color="auto" w:fill="E1DFDD"/>
    </w:rPr>
  </w:style>
  <w:style w:type="paragraph" w:styleId="BodyText2">
    <w:name w:val="Body Text 2"/>
    <w:basedOn w:val="Normal"/>
    <w:link w:val="BodyText2Char"/>
    <w:uiPriority w:val="99"/>
    <w:semiHidden/>
    <w:unhideWhenUsed/>
    <w:rsid w:val="00933EF9"/>
    <w:pPr>
      <w:spacing w:after="120" w:line="480" w:lineRule="auto"/>
    </w:pPr>
  </w:style>
  <w:style w:type="character" w:customStyle="1" w:styleId="BodyText2Char">
    <w:name w:val="Body Text 2 Char"/>
    <w:basedOn w:val="DefaultParagraphFont"/>
    <w:link w:val="BodyText2"/>
    <w:uiPriority w:val="99"/>
    <w:semiHidden/>
    <w:rsid w:val="00933EF9"/>
    <w:rPr>
      <w:rFonts w:ascii="Roboto" w:hAnsi="Roboto"/>
      <w:szCs w:val="24"/>
      <w:lang w:eastAsia="en-US"/>
    </w:rPr>
  </w:style>
  <w:style w:type="character" w:styleId="CommentReference">
    <w:name w:val="annotation reference"/>
    <w:basedOn w:val="DefaultParagraphFont"/>
    <w:uiPriority w:val="99"/>
    <w:semiHidden/>
    <w:unhideWhenUsed/>
    <w:rsid w:val="00E32760"/>
    <w:rPr>
      <w:sz w:val="16"/>
      <w:szCs w:val="16"/>
    </w:rPr>
  </w:style>
  <w:style w:type="paragraph" w:styleId="CommentText">
    <w:name w:val="annotation text"/>
    <w:basedOn w:val="Normal"/>
    <w:link w:val="CommentTextChar"/>
    <w:uiPriority w:val="99"/>
    <w:unhideWhenUsed/>
    <w:rsid w:val="00E32760"/>
    <w:pPr>
      <w:spacing w:line="240" w:lineRule="auto"/>
    </w:pPr>
    <w:rPr>
      <w:szCs w:val="20"/>
    </w:rPr>
  </w:style>
  <w:style w:type="character" w:customStyle="1" w:styleId="CommentTextChar">
    <w:name w:val="Comment Text Char"/>
    <w:basedOn w:val="DefaultParagraphFont"/>
    <w:link w:val="CommentText"/>
    <w:uiPriority w:val="99"/>
    <w:rsid w:val="00E32760"/>
    <w:rPr>
      <w:rFonts w:ascii="Roboto" w:hAnsi="Roboto"/>
      <w:lang w:eastAsia="en-US"/>
    </w:rPr>
  </w:style>
  <w:style w:type="paragraph" w:styleId="CommentSubject">
    <w:name w:val="annotation subject"/>
    <w:basedOn w:val="CommentText"/>
    <w:next w:val="CommentText"/>
    <w:link w:val="CommentSubjectChar"/>
    <w:uiPriority w:val="99"/>
    <w:semiHidden/>
    <w:unhideWhenUsed/>
    <w:rsid w:val="00E32760"/>
    <w:rPr>
      <w:b/>
      <w:bCs/>
    </w:rPr>
  </w:style>
  <w:style w:type="character" w:customStyle="1" w:styleId="CommentSubjectChar">
    <w:name w:val="Comment Subject Char"/>
    <w:basedOn w:val="CommentTextChar"/>
    <w:link w:val="CommentSubject"/>
    <w:uiPriority w:val="99"/>
    <w:semiHidden/>
    <w:rsid w:val="00E32760"/>
    <w:rPr>
      <w:rFonts w:ascii="Roboto" w:hAnsi="Roboto"/>
      <w:b/>
      <w:bCs/>
      <w:lang w:eastAsia="en-US"/>
    </w:rPr>
  </w:style>
  <w:style w:type="paragraph" w:styleId="Revision">
    <w:name w:val="Revision"/>
    <w:hidden/>
    <w:uiPriority w:val="99"/>
    <w:semiHidden/>
    <w:rsid w:val="00E32760"/>
    <w:rPr>
      <w:rFonts w:ascii="Roboto" w:hAnsi="Robo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39842">
      <w:bodyDiv w:val="1"/>
      <w:marLeft w:val="0"/>
      <w:marRight w:val="0"/>
      <w:marTop w:val="0"/>
      <w:marBottom w:val="0"/>
      <w:divBdr>
        <w:top w:val="none" w:sz="0" w:space="0" w:color="auto"/>
        <w:left w:val="none" w:sz="0" w:space="0" w:color="auto"/>
        <w:bottom w:val="none" w:sz="0" w:space="0" w:color="auto"/>
        <w:right w:val="none" w:sz="0" w:space="0" w:color="auto"/>
      </w:divBdr>
    </w:div>
    <w:div w:id="978530326">
      <w:bodyDiv w:val="1"/>
      <w:marLeft w:val="0"/>
      <w:marRight w:val="0"/>
      <w:marTop w:val="0"/>
      <w:marBottom w:val="0"/>
      <w:divBdr>
        <w:top w:val="none" w:sz="0" w:space="0" w:color="auto"/>
        <w:left w:val="none" w:sz="0" w:space="0" w:color="auto"/>
        <w:bottom w:val="none" w:sz="0" w:space="0" w:color="auto"/>
        <w:right w:val="none" w:sz="0" w:space="0" w:color="auto"/>
      </w:divBdr>
    </w:div>
    <w:div w:id="1340278968">
      <w:bodyDiv w:val="1"/>
      <w:marLeft w:val="0"/>
      <w:marRight w:val="0"/>
      <w:marTop w:val="0"/>
      <w:marBottom w:val="0"/>
      <w:divBdr>
        <w:top w:val="none" w:sz="0" w:space="0" w:color="auto"/>
        <w:left w:val="none" w:sz="0" w:space="0" w:color="auto"/>
        <w:bottom w:val="none" w:sz="0" w:space="0" w:color="auto"/>
        <w:right w:val="none" w:sz="0" w:space="0" w:color="auto"/>
      </w:divBdr>
    </w:div>
    <w:div w:id="204447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ita.rastas@just.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ust.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au@eau.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dr.rik.ee/jm/dokument/12581788" TargetMode="External"/><Relationship Id="rId1" Type="http://schemas.openxmlformats.org/officeDocument/2006/relationships/hyperlink" Target="https://www.just.ee/uuringu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3616</Words>
  <Characters>20975</Characters>
  <Application>Microsoft Office Word</Application>
  <DocSecurity>0</DocSecurity>
  <Lines>174</Lines>
  <Paragraphs>49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Mati Kaalep</vt:lpstr>
      <vt:lpstr>blankett</vt:lpstr>
    </vt:vector>
  </TitlesOfParts>
  <Company>EAÜ</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EAÜ tagasiside AutÕS VTK-le</dc:title>
  <dc:subject/>
  <dc:creator>Anne-Ly</dc:creator>
  <cp:keywords>JM</cp:keywords>
  <dc:description/>
  <cp:lastModifiedBy>Mati Kaalep</cp:lastModifiedBy>
  <cp:revision>5</cp:revision>
  <cp:lastPrinted>2024-02-05T13:52:00Z</cp:lastPrinted>
  <dcterms:created xsi:type="dcterms:W3CDTF">2024-02-05T13:51:00Z</dcterms:created>
  <dcterms:modified xsi:type="dcterms:W3CDTF">2024-02-05T13:52:00Z</dcterms:modified>
</cp:coreProperties>
</file>